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rPr>
        <w:t>2016年度廊坊市香河县</w:t>
      </w:r>
      <w:r>
        <w:rPr>
          <w:rFonts w:hint="eastAsia" w:ascii="方正小标宋简体" w:hAnsi="宋体" w:eastAsia="方正小标宋简体"/>
          <w:sz w:val="44"/>
          <w:szCs w:val="44"/>
          <w:lang w:val="en-US" w:eastAsia="zh-CN"/>
        </w:rPr>
        <w:t>物价局</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部门决算信息公开情况</w:t>
      </w:r>
    </w:p>
    <w:p>
      <w:pPr>
        <w:spacing w:line="584" w:lineRule="exact"/>
        <w:ind w:firstLine="600"/>
        <w:jc w:val="center"/>
        <w:rPr>
          <w:rFonts w:hint="eastAsia" w:ascii="方正小标宋简体" w:eastAsia="方正小标宋简体"/>
          <w:sz w:val="44"/>
          <w:szCs w:val="44"/>
        </w:rPr>
      </w:pPr>
    </w:p>
    <w:p>
      <w:pPr>
        <w:widowControl/>
        <w:spacing w:line="584" w:lineRule="exact"/>
        <w:ind w:firstLine="640" w:firstLineChars="200"/>
        <w:jc w:val="left"/>
        <w:rPr>
          <w:rFonts w:eastAsia="仿宋_GB2312"/>
          <w:sz w:val="32"/>
          <w:szCs w:val="32"/>
        </w:rPr>
      </w:pPr>
      <w:r>
        <w:rPr>
          <w:rFonts w:hint="eastAsia" w:eastAsia="仿宋_GB2312"/>
          <w:sz w:val="32"/>
          <w:szCs w:val="32"/>
        </w:rPr>
        <w:t>按照《预算法》、《河北省财政厅关于印发</w:t>
      </w:r>
      <w:r>
        <w:rPr>
          <w:rFonts w:eastAsia="仿宋_GB2312"/>
          <w:sz w:val="32"/>
          <w:szCs w:val="32"/>
        </w:rPr>
        <w:t>&lt;</w:t>
      </w:r>
      <w:r>
        <w:rPr>
          <w:rFonts w:hint="eastAsia" w:eastAsia="仿宋_GB2312"/>
          <w:sz w:val="32"/>
          <w:szCs w:val="32"/>
        </w:rPr>
        <w:t>河北省预决算公开操作规程实施细则</w:t>
      </w:r>
      <w:r>
        <w:rPr>
          <w:rFonts w:eastAsia="仿宋_GB2312"/>
          <w:sz w:val="32"/>
          <w:szCs w:val="32"/>
        </w:rPr>
        <w:t>&gt;</w:t>
      </w:r>
      <w:r>
        <w:rPr>
          <w:rFonts w:hint="eastAsia" w:eastAsia="仿宋_GB2312"/>
          <w:sz w:val="32"/>
          <w:szCs w:val="32"/>
        </w:rPr>
        <w:t>的通知》（冀财预</w:t>
      </w:r>
      <w:r>
        <w:rPr>
          <w:rFonts w:hint="eastAsia"/>
          <w:sz w:val="32"/>
          <w:szCs w:val="32"/>
        </w:rPr>
        <w:t>﹝</w:t>
      </w:r>
      <w:r>
        <w:rPr>
          <w:rFonts w:eastAsia="仿宋_GB2312"/>
          <w:sz w:val="32"/>
          <w:szCs w:val="32"/>
        </w:rPr>
        <w:t>2016</w:t>
      </w:r>
      <w:r>
        <w:rPr>
          <w:rFonts w:hint="eastAsia"/>
          <w:sz w:val="32"/>
          <w:szCs w:val="32"/>
        </w:rPr>
        <w:t>﹞</w:t>
      </w:r>
      <w:r>
        <w:rPr>
          <w:rFonts w:eastAsia="仿宋_GB2312"/>
          <w:sz w:val="32"/>
          <w:szCs w:val="32"/>
        </w:rPr>
        <w:t>129</w:t>
      </w:r>
      <w:r>
        <w:rPr>
          <w:rFonts w:hint="eastAsia" w:eastAsia="仿宋_GB2312"/>
          <w:sz w:val="32"/>
          <w:szCs w:val="32"/>
        </w:rPr>
        <w:t>号）等规定，现将</w:t>
      </w:r>
      <w:r>
        <w:rPr>
          <w:rFonts w:eastAsia="仿宋_GB2312"/>
          <w:sz w:val="32"/>
          <w:szCs w:val="32"/>
        </w:rPr>
        <w:t>2016</w:t>
      </w:r>
      <w:r>
        <w:rPr>
          <w:rFonts w:hint="eastAsia" w:eastAsia="仿宋_GB2312"/>
          <w:sz w:val="32"/>
          <w:szCs w:val="32"/>
        </w:rPr>
        <w:t>年部门决算公开如下：</w:t>
      </w:r>
    </w:p>
    <w:p>
      <w:pPr>
        <w:widowControl/>
        <w:numPr>
          <w:ilvl w:val="0"/>
          <w:numId w:val="1"/>
        </w:numPr>
        <w:spacing w:line="584" w:lineRule="exact"/>
        <w:ind w:firstLine="640" w:firstLineChars="200"/>
        <w:jc w:val="left"/>
        <w:rPr>
          <w:rFonts w:eastAsia="黑体"/>
          <w:sz w:val="32"/>
          <w:szCs w:val="32"/>
        </w:rPr>
      </w:pPr>
      <w:r>
        <w:rPr>
          <w:rFonts w:hint="eastAsia" w:eastAsia="黑体"/>
          <w:sz w:val="32"/>
          <w:szCs w:val="32"/>
        </w:rPr>
        <w:t>部门职责及机构设置情况</w:t>
      </w:r>
    </w:p>
    <w:p>
      <w:pPr>
        <w:ind w:firstLine="643" w:firstLineChars="200"/>
        <w:rPr>
          <w:rFonts w:hint="eastAsia" w:ascii="楷体" w:hAnsi="楷体" w:eastAsia="楷体"/>
          <w:b/>
          <w:sz w:val="32"/>
          <w:szCs w:val="32"/>
        </w:rPr>
      </w:pPr>
      <w:r>
        <w:rPr>
          <w:rFonts w:hint="eastAsia" w:ascii="楷体" w:hAnsi="楷体" w:eastAsia="楷体"/>
          <w:b/>
          <w:sz w:val="32"/>
          <w:szCs w:val="32"/>
        </w:rPr>
        <w:t>部门职责：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、监测、预测全县价格总水平及其结构变动趋势，提出调控意见和建议。</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、对国家和省市出台的价格（收费）改革方案及时组织实施。</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、对实行政府定价或政府指价的商品价格实行管理，对市场调节的商品和服务价格实行间接调控。</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、管理国家机关收费、公益事业收费、公用事业收费、中介服务收费和重要的经营性收费。</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、负责市场物价变化情况监测，向市局和县委、县政府反映物价方面的重要情况，为政府实施宏观调控提供决策依据；向企业发布价格信息。</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、依据有关价格法律、法规、规章，对全县商品和服务价格（收费）的监督检查，查处违法行为，受理对价格（收费）违法行为的举报。</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、负责重要工业品和农产品成本调查工作。</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、负责全县价格认证、价格评估、价格咨询等价格价格服务工作。</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、承办县政府交办的其它工作。</w:t>
      </w:r>
    </w:p>
    <w:p>
      <w:pPr>
        <w:ind w:firstLine="640"/>
        <w:rPr>
          <w:rFonts w:ascii="楷体" w:hAnsi="楷体" w:eastAsia="楷体"/>
          <w:b/>
          <w:sz w:val="32"/>
          <w:szCs w:val="32"/>
        </w:rPr>
      </w:pPr>
      <w:r>
        <w:rPr>
          <w:rFonts w:hint="eastAsia" w:ascii="楷体" w:hAnsi="楷体" w:eastAsia="楷体"/>
          <w:b/>
          <w:sz w:val="32"/>
          <w:szCs w:val="32"/>
        </w:rPr>
        <w:t>机构设置：</w:t>
      </w:r>
    </w:p>
    <w:p>
      <w:pPr>
        <w:ind w:firstLine="640"/>
        <w:rPr>
          <w:rFonts w:ascii="楷体" w:hAnsi="楷体" w:eastAsia="楷体"/>
          <w:b/>
          <w:sz w:val="32"/>
          <w:szCs w:val="32"/>
        </w:rPr>
      </w:pPr>
    </w:p>
    <w:p>
      <w:pPr>
        <w:jc w:val="left"/>
        <w:outlineLvl w:val="0"/>
        <w:rPr>
          <w:rFonts w:ascii="仿宋" w:hAnsi="仿宋" w:eastAsia="仿宋"/>
          <w:sz w:val="32"/>
          <w:szCs w:val="24"/>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13"/>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单位名称</w:t>
            </w:r>
          </w:p>
        </w:tc>
        <w:tc>
          <w:tcPr>
            <w:tcW w:w="1134"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单位性质</w:t>
            </w:r>
          </w:p>
        </w:tc>
        <w:tc>
          <w:tcPr>
            <w:tcW w:w="1276"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单位规格</w:t>
            </w:r>
          </w:p>
        </w:tc>
        <w:tc>
          <w:tcPr>
            <w:tcW w:w="2902"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香河县物价部门</w:t>
            </w:r>
          </w:p>
        </w:tc>
        <w:tc>
          <w:tcPr>
            <w:tcW w:w="1134"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行政</w:t>
            </w:r>
          </w:p>
        </w:tc>
        <w:tc>
          <w:tcPr>
            <w:tcW w:w="1276"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乡科级</w:t>
            </w:r>
          </w:p>
        </w:tc>
        <w:tc>
          <w:tcPr>
            <w:tcW w:w="2902"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bl>
    <w:p>
      <w:pPr>
        <w:spacing w:line="584" w:lineRule="exact"/>
        <w:ind w:firstLine="640"/>
        <w:rPr>
          <w:rFonts w:eastAsia="黑体"/>
          <w:sz w:val="32"/>
          <w:szCs w:val="32"/>
        </w:rPr>
      </w:pPr>
      <w:r>
        <w:rPr>
          <w:rFonts w:hint="eastAsia" w:eastAsia="黑体"/>
          <w:sz w:val="28"/>
          <w:szCs w:val="28"/>
        </w:rPr>
        <w:t>二、</w:t>
      </w:r>
      <w:r>
        <w:rPr>
          <w:rFonts w:hint="eastAsia" w:eastAsia="黑体"/>
          <w:sz w:val="32"/>
          <w:szCs w:val="32"/>
        </w:rPr>
        <w:t>部门决算报表（附表）</w:t>
      </w:r>
    </w:p>
    <w:p>
      <w:pPr>
        <w:spacing w:line="584" w:lineRule="exact"/>
        <w:ind w:firstLine="640"/>
        <w:rPr>
          <w:rFonts w:hint="eastAsia" w:eastAsia="黑体"/>
          <w:sz w:val="32"/>
          <w:szCs w:val="32"/>
        </w:rPr>
      </w:pPr>
      <w:r>
        <w:rPr>
          <w:rFonts w:hint="eastAsia" w:eastAsia="黑体"/>
          <w:sz w:val="32"/>
          <w:szCs w:val="32"/>
        </w:rPr>
        <w:t>三、2016年度部门决算情况说明</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我单位为1级预算单位，无下属单位，无汇总决算。</w:t>
      </w:r>
    </w:p>
    <w:p>
      <w:pPr>
        <w:numPr>
          <w:ilvl w:val="0"/>
          <w:numId w:val="2"/>
        </w:numPr>
        <w:snapToGrid w:val="0"/>
        <w:spacing w:line="584" w:lineRule="exact"/>
        <w:ind w:firstLine="640"/>
        <w:rPr>
          <w:rFonts w:hint="eastAsia" w:ascii="楷体" w:hAnsi="楷体" w:eastAsia="楷体" w:cs="楷体"/>
          <w:b/>
          <w:bCs/>
          <w:sz w:val="32"/>
          <w:szCs w:val="32"/>
        </w:rPr>
      </w:pPr>
      <w:r>
        <w:rPr>
          <w:rFonts w:hint="eastAsia" w:ascii="楷体" w:hAnsi="楷体" w:eastAsia="楷体" w:cs="楷体"/>
          <w:b/>
          <w:bCs/>
          <w:sz w:val="32"/>
          <w:szCs w:val="32"/>
        </w:rPr>
        <w:t>收入支出决算总体情况说明</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2016年度，年初结余结转</w:t>
      </w:r>
      <w:r>
        <w:rPr>
          <w:rFonts w:hint="eastAsia" w:ascii="仿宋_GB2312" w:hAnsi="仿宋" w:eastAsia="仿宋_GB2312"/>
          <w:sz w:val="32"/>
          <w:szCs w:val="32"/>
          <w:lang w:val="en-US" w:eastAsia="zh-CN"/>
        </w:rPr>
        <w:t>8.80</w:t>
      </w:r>
      <w:r>
        <w:rPr>
          <w:rFonts w:hint="eastAsia" w:ascii="仿宋_GB2312" w:hAnsi="仿宋" w:eastAsia="仿宋_GB2312"/>
          <w:sz w:val="32"/>
          <w:szCs w:val="32"/>
        </w:rPr>
        <w:t>万元，本年收入为</w:t>
      </w:r>
      <w:r>
        <w:rPr>
          <w:rFonts w:hint="eastAsia" w:ascii="仿宋_GB2312" w:hAnsi="仿宋" w:eastAsia="仿宋_GB2312"/>
          <w:sz w:val="32"/>
          <w:szCs w:val="32"/>
          <w:lang w:val="en-US" w:eastAsia="zh-CN"/>
        </w:rPr>
        <w:t>243.61</w:t>
      </w:r>
      <w:r>
        <w:rPr>
          <w:rFonts w:hint="eastAsia" w:ascii="仿宋_GB2312" w:hAnsi="仿宋" w:eastAsia="仿宋_GB2312"/>
          <w:sz w:val="32"/>
          <w:szCs w:val="32"/>
        </w:rPr>
        <w:t>万元，其中：财政拨款</w:t>
      </w:r>
      <w:r>
        <w:rPr>
          <w:rFonts w:hint="eastAsia" w:ascii="仿宋_GB2312" w:hAnsi="仿宋" w:eastAsia="仿宋_GB2312"/>
          <w:sz w:val="32"/>
          <w:szCs w:val="32"/>
          <w:lang w:val="en-US" w:eastAsia="zh-CN"/>
        </w:rPr>
        <w:t>243.61</w:t>
      </w:r>
      <w:r>
        <w:rPr>
          <w:rFonts w:hint="eastAsia" w:ascii="仿宋_GB2312" w:hAnsi="仿宋" w:eastAsia="仿宋_GB2312"/>
          <w:sz w:val="32"/>
          <w:szCs w:val="32"/>
        </w:rPr>
        <w:t>万元。本年支出</w:t>
      </w:r>
      <w:r>
        <w:rPr>
          <w:rFonts w:hint="eastAsia" w:ascii="仿宋_GB2312" w:hAnsi="仿宋" w:eastAsia="仿宋_GB2312"/>
          <w:sz w:val="32"/>
          <w:szCs w:val="32"/>
          <w:lang w:val="en-US" w:eastAsia="zh-CN"/>
        </w:rPr>
        <w:t>231.28</w:t>
      </w:r>
      <w:r>
        <w:rPr>
          <w:rFonts w:hint="eastAsia" w:ascii="仿宋_GB2312" w:hAnsi="仿宋" w:eastAsia="仿宋_GB2312"/>
          <w:sz w:val="32"/>
          <w:szCs w:val="32"/>
        </w:rPr>
        <w:t>万元，年末结转结余</w:t>
      </w:r>
      <w:r>
        <w:rPr>
          <w:rFonts w:hint="eastAsia" w:ascii="仿宋_GB2312" w:hAnsi="仿宋" w:eastAsia="仿宋_GB2312"/>
          <w:sz w:val="32"/>
          <w:szCs w:val="32"/>
          <w:lang w:val="en-US" w:eastAsia="zh-CN"/>
        </w:rPr>
        <w:t>21.13</w:t>
      </w:r>
      <w:r>
        <w:rPr>
          <w:rFonts w:hint="eastAsia" w:ascii="仿宋_GB2312" w:hAnsi="仿宋" w:eastAsia="仿宋_GB2312"/>
          <w:sz w:val="32"/>
          <w:szCs w:val="32"/>
        </w:rPr>
        <w:t>万元，具体情况如下：一般公共服务支出</w:t>
      </w:r>
      <w:r>
        <w:rPr>
          <w:rFonts w:hint="eastAsia" w:ascii="仿宋_GB2312" w:hAnsi="仿宋" w:eastAsia="仿宋_GB2312"/>
          <w:sz w:val="32"/>
          <w:szCs w:val="32"/>
          <w:lang w:val="en-US" w:eastAsia="zh-CN"/>
        </w:rPr>
        <w:t>218.46</w:t>
      </w:r>
      <w:r>
        <w:rPr>
          <w:rFonts w:hint="eastAsia" w:ascii="仿宋_GB2312" w:hAnsi="仿宋" w:eastAsia="仿宋_GB2312"/>
          <w:sz w:val="32"/>
          <w:szCs w:val="32"/>
        </w:rPr>
        <w:t>万元，主要用于机关及所属单位等机构人员工资、日常运转以及完成部门工作任务和事业发展目标而安排的项目支出；</w:t>
      </w:r>
      <w:r>
        <w:rPr>
          <w:rFonts w:hint="eastAsia" w:ascii="仿宋_GB2312" w:hAnsi="仿宋" w:eastAsia="仿宋_GB2312"/>
          <w:sz w:val="32"/>
          <w:szCs w:val="32"/>
          <w:lang w:val="en-US" w:eastAsia="zh-CN"/>
        </w:rPr>
        <w:t>住房保障</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12.82</w:t>
      </w:r>
      <w:r>
        <w:rPr>
          <w:rFonts w:hint="eastAsia" w:ascii="仿宋_GB2312" w:hAnsi="仿宋" w:eastAsia="仿宋_GB2312"/>
          <w:sz w:val="32"/>
          <w:szCs w:val="32"/>
        </w:rPr>
        <w:t>万元。</w:t>
      </w:r>
    </w:p>
    <w:p>
      <w:pPr>
        <w:spacing w:line="560" w:lineRule="exact"/>
        <w:ind w:firstLine="640" w:firstLineChars="200"/>
      </w:pPr>
      <w:r>
        <w:rPr>
          <w:rFonts w:hint="eastAsia" w:ascii="仿宋_GB2312" w:hAnsi="仿宋" w:eastAsia="仿宋_GB2312"/>
          <w:sz w:val="32"/>
          <w:szCs w:val="32"/>
        </w:rPr>
        <w:t>本年总收入比年初预算收入</w:t>
      </w:r>
      <w:r>
        <w:rPr>
          <w:rFonts w:hint="eastAsia" w:ascii="仿宋_GB2312" w:hAnsi="仿宋" w:eastAsia="仿宋_GB2312"/>
          <w:sz w:val="32"/>
          <w:szCs w:val="32"/>
          <w:lang w:val="en-US" w:eastAsia="zh-CN"/>
        </w:rPr>
        <w:t>减少82.42</w:t>
      </w:r>
      <w:r>
        <w:rPr>
          <w:rFonts w:hint="eastAsia" w:ascii="仿宋_GB2312" w:hAnsi="仿宋" w:eastAsia="仿宋_GB2312"/>
          <w:sz w:val="32"/>
          <w:szCs w:val="32"/>
        </w:rPr>
        <w:t>万元，主要是因为</w:t>
      </w:r>
      <w:r>
        <w:rPr>
          <w:rFonts w:ascii="仿宋_GB2312" w:hAnsi="仿宋_GB2312" w:eastAsia="仿宋_GB2312" w:cs="仿宋_GB2312"/>
          <w:sz w:val="31"/>
          <w:szCs w:val="31"/>
        </w:rPr>
        <w:t>人员退休，经费减少。</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rPr>
        <w:t>收入决算情况说明</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2016年度收入</w:t>
      </w:r>
      <w:r>
        <w:rPr>
          <w:rFonts w:hint="eastAsia" w:ascii="仿宋_GB2312" w:hAnsi="仿宋" w:eastAsia="仿宋_GB2312"/>
          <w:sz w:val="32"/>
          <w:szCs w:val="32"/>
          <w:lang w:val="en-US" w:eastAsia="zh-CN"/>
        </w:rPr>
        <w:t>243.61</w:t>
      </w:r>
      <w:r>
        <w:rPr>
          <w:rFonts w:hint="eastAsia" w:ascii="仿宋_GB2312" w:hAnsi="仿宋" w:eastAsia="仿宋_GB2312"/>
          <w:sz w:val="32"/>
          <w:szCs w:val="32"/>
        </w:rPr>
        <w:t>万元，其中：财政拨款</w:t>
      </w:r>
      <w:r>
        <w:rPr>
          <w:rFonts w:hint="eastAsia" w:ascii="仿宋_GB2312" w:hAnsi="仿宋" w:eastAsia="仿宋_GB2312"/>
          <w:sz w:val="32"/>
          <w:szCs w:val="32"/>
          <w:lang w:val="en-US" w:eastAsia="zh-CN"/>
        </w:rPr>
        <w:t>243.61</w:t>
      </w:r>
      <w:r>
        <w:rPr>
          <w:rFonts w:hint="eastAsia" w:ascii="仿宋_GB2312" w:hAnsi="仿宋" w:eastAsia="仿宋_GB2312"/>
          <w:sz w:val="32"/>
          <w:szCs w:val="32"/>
        </w:rPr>
        <w:t>万元。具体情况如下：一般公共服务收入</w:t>
      </w:r>
      <w:r>
        <w:rPr>
          <w:rFonts w:hint="eastAsia" w:ascii="仿宋_GB2312" w:hAnsi="仿宋" w:eastAsia="仿宋_GB2312"/>
          <w:sz w:val="32"/>
          <w:szCs w:val="32"/>
          <w:lang w:val="en-US" w:eastAsia="zh-CN"/>
        </w:rPr>
        <w:t>230.79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住房保障收入12.82</w:t>
      </w:r>
      <w:r>
        <w:rPr>
          <w:rFonts w:hint="eastAsia" w:ascii="仿宋_GB2312" w:hAnsi="仿宋" w:eastAsia="仿宋_GB2312"/>
          <w:sz w:val="32"/>
          <w:szCs w:val="32"/>
        </w:rPr>
        <w:t>万元。</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rPr>
        <w:t>）支出决算情况说明</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2016年支出</w:t>
      </w:r>
      <w:r>
        <w:rPr>
          <w:rFonts w:hint="eastAsia" w:ascii="仿宋_GB2312" w:hAnsi="仿宋" w:eastAsia="仿宋_GB2312"/>
          <w:sz w:val="32"/>
          <w:szCs w:val="32"/>
          <w:lang w:val="en-US" w:eastAsia="zh-CN"/>
        </w:rPr>
        <w:t>231.28</w:t>
      </w:r>
      <w:r>
        <w:rPr>
          <w:rFonts w:hint="eastAsia" w:ascii="仿宋_GB2312" w:hAnsi="仿宋" w:eastAsia="仿宋_GB2312"/>
          <w:sz w:val="32"/>
          <w:szCs w:val="32"/>
        </w:rPr>
        <w:t>万元，其中：基本支出</w:t>
      </w:r>
      <w:r>
        <w:rPr>
          <w:rFonts w:hint="eastAsia" w:ascii="仿宋_GB2312" w:hAnsi="仿宋" w:eastAsia="仿宋_GB2312"/>
          <w:sz w:val="32"/>
          <w:szCs w:val="32"/>
          <w:lang w:val="en-US" w:eastAsia="zh-CN"/>
        </w:rPr>
        <w:t>231.28</w:t>
      </w:r>
      <w:r>
        <w:rPr>
          <w:rFonts w:hint="eastAsia" w:ascii="仿宋_GB2312" w:hAnsi="仿宋" w:eastAsia="仿宋_GB2312"/>
          <w:sz w:val="32"/>
          <w:szCs w:val="32"/>
        </w:rPr>
        <w:t>万元。具体情况如下：一般公共服务支出</w:t>
      </w:r>
      <w:r>
        <w:rPr>
          <w:rFonts w:hint="eastAsia" w:ascii="仿宋_GB2312" w:hAnsi="仿宋" w:eastAsia="仿宋_GB2312"/>
          <w:sz w:val="32"/>
          <w:szCs w:val="32"/>
          <w:lang w:val="en-US" w:eastAsia="zh-CN"/>
        </w:rPr>
        <w:t>218.46</w:t>
      </w:r>
      <w:r>
        <w:rPr>
          <w:rFonts w:hint="eastAsia" w:ascii="仿宋_GB2312" w:hAnsi="仿宋" w:eastAsia="仿宋_GB2312"/>
          <w:sz w:val="32"/>
          <w:szCs w:val="32"/>
        </w:rPr>
        <w:t>万元，主要用于机关人员工资、日常运转以及完成部门工作任务和事业发展目标而安排的支出；</w:t>
      </w:r>
      <w:r>
        <w:rPr>
          <w:rFonts w:hint="eastAsia" w:ascii="仿宋_GB2312" w:hAnsi="仿宋" w:eastAsia="仿宋_GB2312"/>
          <w:sz w:val="32"/>
          <w:szCs w:val="32"/>
          <w:lang w:val="en-US" w:eastAsia="zh-CN"/>
        </w:rPr>
        <w:t>住房保障</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12.82</w:t>
      </w:r>
      <w:r>
        <w:rPr>
          <w:rFonts w:hint="eastAsia" w:ascii="仿宋_GB2312" w:hAnsi="仿宋" w:eastAsia="仿宋_GB2312"/>
          <w:sz w:val="32"/>
          <w:szCs w:val="32"/>
        </w:rPr>
        <w:t>万元。</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pStyle w:val="7"/>
        <w:keepNext w:val="0"/>
        <w:keepLines w:val="0"/>
        <w:widowControl/>
        <w:suppressLineNumbers w:val="0"/>
        <w:spacing w:before="150" w:beforeAutospacing="0" w:after="0" w:afterAutospacing="0" w:line="360" w:lineRule="atLeast"/>
        <w:ind w:left="0" w:right="0" w:firstLine="660"/>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016年财政拨款收入</w:t>
      </w:r>
      <w:r>
        <w:rPr>
          <w:rFonts w:hint="eastAsia" w:ascii="仿宋_GB2312" w:hAnsi="仿宋" w:eastAsia="仿宋_GB2312"/>
          <w:sz w:val="32"/>
          <w:szCs w:val="32"/>
          <w:lang w:val="en-US" w:eastAsia="zh-CN"/>
        </w:rPr>
        <w:t>243.61</w:t>
      </w:r>
      <w:r>
        <w:rPr>
          <w:rFonts w:hint="eastAsia" w:ascii="仿宋_GB2312" w:hAnsi="仿宋" w:eastAsia="仿宋_GB2312"/>
          <w:sz w:val="32"/>
          <w:szCs w:val="32"/>
        </w:rPr>
        <w:t>万元，支出</w:t>
      </w:r>
      <w:r>
        <w:rPr>
          <w:rFonts w:hint="eastAsia" w:ascii="仿宋_GB2312" w:hAnsi="仿宋" w:eastAsia="仿宋_GB2312"/>
          <w:sz w:val="32"/>
          <w:szCs w:val="32"/>
          <w:lang w:val="en-US" w:eastAsia="zh-CN"/>
        </w:rPr>
        <w:t>231.28</w:t>
      </w:r>
      <w:r>
        <w:rPr>
          <w:rFonts w:hint="eastAsia" w:ascii="仿宋_GB2312" w:hAnsi="仿宋" w:eastAsia="仿宋_GB2312"/>
          <w:sz w:val="32"/>
          <w:szCs w:val="32"/>
        </w:rPr>
        <w:t>万元。支出具体情况如下：一般公共服务支出</w:t>
      </w:r>
      <w:r>
        <w:rPr>
          <w:rFonts w:hint="eastAsia" w:ascii="仿宋_GB2312" w:hAnsi="仿宋" w:eastAsia="仿宋_GB2312"/>
          <w:sz w:val="32"/>
          <w:szCs w:val="32"/>
          <w:lang w:val="en-US" w:eastAsia="zh-CN"/>
        </w:rPr>
        <w:t>218.46</w:t>
      </w:r>
      <w:r>
        <w:rPr>
          <w:rFonts w:hint="eastAsia" w:ascii="仿宋_GB2312" w:hAnsi="仿宋" w:eastAsia="仿宋_GB2312"/>
          <w:sz w:val="32"/>
          <w:szCs w:val="32"/>
        </w:rPr>
        <w:t>万元，主要用于机关人员工资、日常运转以及完成部门工作任务和事业发展目标而安排的支出；</w:t>
      </w:r>
      <w:r>
        <w:rPr>
          <w:rFonts w:hint="eastAsia" w:ascii="仿宋_GB2312" w:hAnsi="仿宋" w:eastAsia="仿宋_GB2312"/>
          <w:sz w:val="32"/>
          <w:szCs w:val="32"/>
          <w:lang w:val="en-US" w:eastAsia="zh-CN"/>
        </w:rPr>
        <w:t>住房保障</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12.82</w:t>
      </w:r>
      <w:r>
        <w:rPr>
          <w:rFonts w:hint="eastAsia" w:ascii="仿宋_GB2312" w:hAnsi="仿宋" w:eastAsia="仿宋_GB2312"/>
          <w:sz w:val="32"/>
          <w:szCs w:val="32"/>
        </w:rPr>
        <w:t>万元。本年总收入比年初预算收入</w:t>
      </w:r>
      <w:r>
        <w:rPr>
          <w:rFonts w:hint="eastAsia" w:ascii="仿宋_GB2312" w:hAnsi="仿宋" w:eastAsia="仿宋_GB2312"/>
          <w:sz w:val="32"/>
          <w:szCs w:val="32"/>
          <w:lang w:val="en-US" w:eastAsia="zh-CN"/>
        </w:rPr>
        <w:t>减少82.42</w:t>
      </w:r>
      <w:r>
        <w:rPr>
          <w:rFonts w:hint="eastAsia" w:ascii="仿宋_GB2312" w:hAnsi="仿宋" w:eastAsia="仿宋_GB2312"/>
          <w:sz w:val="32"/>
          <w:szCs w:val="32"/>
        </w:rPr>
        <w:t>万元，主要是因为</w:t>
      </w:r>
      <w:r>
        <w:rPr>
          <w:rFonts w:ascii="仿宋_GB2312" w:hAnsi="仿宋_GB2312" w:eastAsia="仿宋_GB2312" w:cs="仿宋_GB2312"/>
          <w:sz w:val="31"/>
          <w:szCs w:val="31"/>
        </w:rPr>
        <w:t>人员退休，经费减少。</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（五）“三公”经费情况及增减变化原因</w:t>
      </w:r>
    </w:p>
    <w:p>
      <w:pPr>
        <w:widowControl/>
        <w:spacing w:line="584" w:lineRule="exact"/>
        <w:ind w:firstLine="640" w:firstLineChars="200"/>
        <w:jc w:val="left"/>
        <w:rPr>
          <w:rFonts w:hint="eastAsia" w:ascii="仿宋_GB2312" w:hAnsi="Verdana" w:eastAsia="仿宋_GB2312" w:cs="宋体"/>
          <w:color w:val="484747"/>
          <w:kern w:val="0"/>
          <w:sz w:val="32"/>
          <w:szCs w:val="32"/>
        </w:rPr>
      </w:pPr>
      <w:r>
        <w:rPr>
          <w:rFonts w:hint="eastAsia" w:ascii="仿宋_GB2312" w:hAnsi="仿宋" w:eastAsia="仿宋_GB2312" w:cs="宋体"/>
          <w:kern w:val="0"/>
          <w:sz w:val="32"/>
          <w:szCs w:val="32"/>
          <w:lang w:val="en-US" w:eastAsia="zh-CN" w:bidi="ar-SA"/>
        </w:rPr>
        <w:t>2016年度部门“三公”经费支出2.11万元，比预算减少0.91万元，比2015年度决算减少0.24万元。其中：因公出国（境）费0万元；公务用车购置及运行维护费2.11万元（公务用车购置数量1辆，购置金额0万元，公车运行维护费2.11万元，年末公务用车保有量1辆），比预算增加0.11万元，比2015年度决算减0.19万元，原因是加强车辆管理,进一步严控“三公”经费开支；公务接待费0万元，比预算减少0.04万元，比2015年度决算减少0.05万元，原因是严格接待制度，进一步严控“三公”经费开支。</w:t>
      </w:r>
    </w:p>
    <w:p>
      <w:pPr>
        <w:widowControl/>
        <w:numPr>
          <w:ilvl w:val="0"/>
          <w:numId w:val="3"/>
        </w:numPr>
        <w:spacing w:line="584"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机关运行经费支出情况的说明</w:t>
      </w:r>
    </w:p>
    <w:p>
      <w:pPr>
        <w:widowControl/>
        <w:spacing w:line="584" w:lineRule="exact"/>
        <w:ind w:firstLine="640" w:firstLineChars="200"/>
        <w:jc w:val="left"/>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2016年度部门机关运行经费支出62.27万元，比2015年度增加22.06万元，原因是物价上涨、业务量增大，所需办公费、印刷费、邮电费、办公用水用电等费用相应增加。</w:t>
      </w:r>
    </w:p>
    <w:p>
      <w:pPr>
        <w:widowControl/>
        <w:numPr>
          <w:ilvl w:val="0"/>
          <w:numId w:val="4"/>
        </w:numPr>
        <w:spacing w:line="584"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绩效预算信息</w:t>
      </w:r>
    </w:p>
    <w:p>
      <w:pPr>
        <w:widowControl/>
        <w:numPr>
          <w:ilvl w:val="0"/>
          <w:numId w:val="0"/>
        </w:numPr>
        <w:spacing w:line="584" w:lineRule="exact"/>
        <w:jc w:val="left"/>
        <w:rPr>
          <w:rFonts w:hint="eastAsia" w:eastAsia="仿宋_GB2312"/>
          <w:sz w:val="32"/>
          <w:szCs w:val="32"/>
        </w:rPr>
      </w:pPr>
      <w:bookmarkStart w:id="0" w:name="_GoBack"/>
      <w:bookmarkEnd w:id="0"/>
    </w:p>
    <w:tbl>
      <w:tblPr>
        <w:tblStyle w:val="13"/>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411</w:t>
            </w:r>
            <w:r>
              <w:rPr>
                <w:rFonts w:hint="eastAsia" w:ascii="方正小标宋_GBK" w:eastAsia="方正小标宋_GBK"/>
                <w:sz w:val="24"/>
              </w:rPr>
              <w:t>县物价局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_GBK" w:eastAsia="Times New Roman"/>
                <w:sz w:val="24"/>
              </w:rPr>
            </w:pPr>
            <w:r>
              <w:rPr>
                <w:rFonts w:ascii="????_GBK" w:eastAsia="Times New Roman"/>
                <w:sz w:val="24"/>
              </w:rPr>
              <w:t>单位：</w:t>
            </w:r>
            <w:r>
              <w:rPr>
                <w:rFonts w:hint="eastAsia" w:ascii="????_GBK"/>
                <w:sz w:val="24"/>
              </w:rPr>
              <w:t>万</w:t>
            </w:r>
            <w:r>
              <w:rPr>
                <w:rFonts w:ascii="????_GBK" w:eastAsia="Times New Roman"/>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_GBK" w:eastAsia="Times New Roman"/>
                <w:b/>
              </w:rPr>
            </w:pPr>
            <w:r>
              <w:rPr>
                <w:rFonts w:ascii="????_GBK" w:eastAsia="Times New Roman"/>
                <w:b/>
              </w:rPr>
              <w:t>职责活动</w:t>
            </w:r>
          </w:p>
        </w:tc>
        <w:tc>
          <w:tcPr>
            <w:tcW w:w="1276" w:type="dxa"/>
            <w:vMerge w:val="restart"/>
            <w:vAlign w:val="center"/>
          </w:tcPr>
          <w:p>
            <w:pPr>
              <w:spacing w:line="300" w:lineRule="exact"/>
              <w:jc w:val="center"/>
              <w:rPr>
                <w:rFonts w:ascii="????_GBK" w:eastAsia="Times New Roman"/>
                <w:b/>
              </w:rPr>
            </w:pPr>
            <w:r>
              <w:rPr>
                <w:rFonts w:ascii="????_GBK" w:eastAsia="Times New Roman"/>
                <w:b/>
              </w:rPr>
              <w:t>年度预算数</w:t>
            </w:r>
          </w:p>
        </w:tc>
        <w:tc>
          <w:tcPr>
            <w:tcW w:w="2976" w:type="dxa"/>
            <w:vMerge w:val="restart"/>
            <w:vAlign w:val="center"/>
          </w:tcPr>
          <w:p>
            <w:pPr>
              <w:spacing w:line="300" w:lineRule="exact"/>
              <w:jc w:val="center"/>
              <w:rPr>
                <w:rFonts w:ascii="????_GBK" w:eastAsia="Times New Roman"/>
                <w:b/>
              </w:rPr>
            </w:pPr>
            <w:r>
              <w:rPr>
                <w:rFonts w:ascii="????_GBK" w:eastAsia="Times New Roman"/>
                <w:b/>
              </w:rPr>
              <w:t>内容描述</w:t>
            </w:r>
          </w:p>
        </w:tc>
        <w:tc>
          <w:tcPr>
            <w:tcW w:w="2976" w:type="dxa"/>
            <w:vMerge w:val="restart"/>
            <w:vAlign w:val="center"/>
          </w:tcPr>
          <w:p>
            <w:pPr>
              <w:spacing w:line="300" w:lineRule="exact"/>
              <w:jc w:val="center"/>
              <w:rPr>
                <w:rFonts w:ascii="????_GBK" w:eastAsia="Times New Roman"/>
                <w:b/>
              </w:rPr>
            </w:pPr>
            <w:r>
              <w:rPr>
                <w:rFonts w:ascii="????_GBK" w:eastAsia="Times New Roman"/>
                <w:b/>
              </w:rPr>
              <w:t>绩效目标</w:t>
            </w:r>
          </w:p>
        </w:tc>
        <w:tc>
          <w:tcPr>
            <w:tcW w:w="1417" w:type="dxa"/>
            <w:vMerge w:val="restart"/>
            <w:vAlign w:val="center"/>
          </w:tcPr>
          <w:p>
            <w:pPr>
              <w:spacing w:line="300" w:lineRule="exact"/>
              <w:jc w:val="center"/>
              <w:rPr>
                <w:rFonts w:ascii="????_GBK" w:eastAsia="Times New Roman"/>
                <w:b/>
              </w:rPr>
            </w:pPr>
            <w:r>
              <w:rPr>
                <w:rFonts w:ascii="????_GBK" w:eastAsia="Times New Roman"/>
                <w:b/>
              </w:rPr>
              <w:t>绩效指标</w:t>
            </w:r>
          </w:p>
        </w:tc>
        <w:tc>
          <w:tcPr>
            <w:tcW w:w="2948" w:type="dxa"/>
            <w:gridSpan w:val="4"/>
            <w:vAlign w:val="center"/>
          </w:tcPr>
          <w:p>
            <w:pPr>
              <w:spacing w:line="300" w:lineRule="exact"/>
              <w:jc w:val="center"/>
              <w:rPr>
                <w:rFonts w:ascii="????_GBK" w:eastAsia="Times New Roman"/>
                <w:b/>
              </w:rPr>
            </w:pPr>
            <w:r>
              <w:rPr>
                <w:rFonts w:ascii="????_GBK" w:eastAsia="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_GBK" w:eastAsia="Times New Roman"/>
                <w:b/>
              </w:rPr>
            </w:pPr>
            <w:r>
              <w:rPr>
                <w:rFonts w:ascii="????_GBK" w:eastAsia="Times New Roman"/>
                <w:b/>
              </w:rPr>
              <w:t>优</w:t>
            </w:r>
          </w:p>
        </w:tc>
        <w:tc>
          <w:tcPr>
            <w:tcW w:w="737" w:type="dxa"/>
            <w:vAlign w:val="center"/>
          </w:tcPr>
          <w:p>
            <w:pPr>
              <w:spacing w:line="300" w:lineRule="exact"/>
              <w:jc w:val="center"/>
              <w:rPr>
                <w:rFonts w:ascii="????_GBK" w:eastAsia="Times New Roman"/>
                <w:b/>
              </w:rPr>
            </w:pPr>
            <w:r>
              <w:rPr>
                <w:rFonts w:ascii="????_GBK" w:eastAsia="Times New Roman"/>
                <w:b/>
              </w:rPr>
              <w:t>良</w:t>
            </w:r>
          </w:p>
        </w:tc>
        <w:tc>
          <w:tcPr>
            <w:tcW w:w="737" w:type="dxa"/>
            <w:vAlign w:val="center"/>
          </w:tcPr>
          <w:p>
            <w:pPr>
              <w:spacing w:line="300" w:lineRule="exact"/>
              <w:jc w:val="center"/>
              <w:rPr>
                <w:rFonts w:ascii="????_GBK" w:eastAsia="Times New Roman"/>
                <w:b/>
              </w:rPr>
            </w:pPr>
            <w:r>
              <w:rPr>
                <w:rFonts w:ascii="????_GBK" w:eastAsia="Times New Roman"/>
                <w:b/>
              </w:rPr>
              <w:t>中</w:t>
            </w:r>
          </w:p>
        </w:tc>
        <w:tc>
          <w:tcPr>
            <w:tcW w:w="737" w:type="dxa"/>
            <w:vAlign w:val="center"/>
          </w:tcPr>
          <w:p>
            <w:pPr>
              <w:spacing w:line="300" w:lineRule="exact"/>
              <w:jc w:val="center"/>
              <w:rPr>
                <w:rFonts w:ascii="????_GBK" w:eastAsia="Times New Roman"/>
                <w:b/>
              </w:rPr>
            </w:pPr>
            <w:r>
              <w:rPr>
                <w:rFonts w:ascii="????_GBK" w:eastAsia="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价格总水平调控和价格管理</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根据国民经济发展需要和社会承受能力，拟订全县价格总水平年度调控计划和中长期调控目标，监测预测全县价格总水平及其结构变动趋势，提出调控建议。管理全县与国民经济和人民生活关系重大、资源稀缺、自然垄断经营的商品价格，拟订作价原则、办法。</w:t>
            </w:r>
          </w:p>
        </w:tc>
        <w:tc>
          <w:tcPr>
            <w:tcW w:w="2976" w:type="dxa"/>
            <w:vAlign w:val="center"/>
          </w:tcPr>
          <w:p>
            <w:pPr>
              <w:spacing w:line="300" w:lineRule="exact"/>
              <w:jc w:val="left"/>
              <w:rPr>
                <w:rFonts w:ascii="????_GBK" w:eastAsia="Times New Roman"/>
              </w:rPr>
            </w:pPr>
            <w:r>
              <w:rPr>
                <w:rFonts w:ascii="????_GBK" w:eastAsia="Times New Roman"/>
              </w:rPr>
              <w:t>保持市场价格总水平基本稳定,努力保障改善民生，促进经济持续健康发展和社会和谐稳定。</w:t>
            </w:r>
          </w:p>
        </w:tc>
        <w:tc>
          <w:tcPr>
            <w:tcW w:w="1417" w:type="dxa"/>
            <w:vAlign w:val="center"/>
          </w:tcPr>
          <w:p>
            <w:pPr>
              <w:spacing w:line="300" w:lineRule="exact"/>
              <w:jc w:val="left"/>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拟订提出价格总水平年度调控目标和建议</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拟订全县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976" w:type="dxa"/>
            <w:vMerge w:val="restart"/>
            <w:vAlign w:val="center"/>
          </w:tcPr>
          <w:p>
            <w:pPr>
              <w:spacing w:line="300" w:lineRule="exact"/>
              <w:jc w:val="left"/>
              <w:rPr>
                <w:rFonts w:ascii="????_GBK" w:eastAsia="Times New Roman"/>
              </w:rPr>
            </w:pPr>
            <w:r>
              <w:rPr>
                <w:rFonts w:ascii="????_GBK" w:eastAsia="Times New Roman"/>
              </w:rPr>
              <w:t>保持市场价格总水平基本稳定,努力保障改善民生，促进经济持续健康发展和社会和谐稳定。</w:t>
            </w:r>
          </w:p>
        </w:tc>
        <w:tc>
          <w:tcPr>
            <w:tcW w:w="1417" w:type="dxa"/>
            <w:vAlign w:val="center"/>
          </w:tcPr>
          <w:p>
            <w:pPr>
              <w:spacing w:line="300" w:lineRule="exact"/>
              <w:jc w:val="left"/>
              <w:rPr>
                <w:rFonts w:ascii="????_GBK" w:eastAsia="Times New Roman"/>
              </w:rPr>
            </w:pPr>
            <w:r>
              <w:rPr>
                <w:rFonts w:ascii="????_GBK" w:eastAsia="Times New Roman"/>
              </w:rPr>
              <w:t>价格监测任务完成率</w:t>
            </w:r>
          </w:p>
        </w:tc>
        <w:tc>
          <w:tcPr>
            <w:tcW w:w="737" w:type="dxa"/>
            <w:vAlign w:val="center"/>
          </w:tcPr>
          <w:p>
            <w:pPr>
              <w:spacing w:line="300" w:lineRule="exact"/>
              <w:jc w:val="center"/>
              <w:rPr>
                <w:rFonts w:ascii="????_GBK" w:eastAsia="Times New Roman"/>
              </w:rPr>
            </w:pPr>
            <w:r>
              <w:rPr>
                <w:rFonts w:ascii="????_GBK" w:eastAsia="Times New Roman"/>
              </w:rPr>
              <w:t>100%</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居民消费价格年度预期目标完成情况</w:t>
            </w:r>
          </w:p>
        </w:tc>
        <w:tc>
          <w:tcPr>
            <w:tcW w:w="737" w:type="dxa"/>
            <w:vAlign w:val="center"/>
          </w:tcPr>
          <w:p>
            <w:pPr>
              <w:spacing w:line="300" w:lineRule="exact"/>
              <w:jc w:val="center"/>
              <w:rPr>
                <w:rFonts w:ascii="????_GBK" w:eastAsia="Times New Roman"/>
              </w:rPr>
            </w:pPr>
            <w:r>
              <w:rPr>
                <w:rFonts w:ascii="????_GBK" w:eastAsia="Times New Roman"/>
              </w:rPr>
              <w:t>预期目标以内</w:t>
            </w:r>
          </w:p>
        </w:tc>
        <w:tc>
          <w:tcPr>
            <w:tcW w:w="737" w:type="dxa"/>
            <w:vAlign w:val="center"/>
          </w:tcPr>
          <w:p>
            <w:pPr>
              <w:spacing w:line="300" w:lineRule="exact"/>
              <w:jc w:val="center"/>
              <w:rPr>
                <w:rFonts w:ascii="????_GBK" w:eastAsia="Times New Roman"/>
              </w:rPr>
            </w:pPr>
            <w:r>
              <w:rPr>
                <w:rFonts w:ascii="????_GBK" w:eastAsia="Times New Roman"/>
              </w:rPr>
              <w:t>预期目标左右</w:t>
            </w:r>
          </w:p>
        </w:tc>
        <w:tc>
          <w:tcPr>
            <w:tcW w:w="737" w:type="dxa"/>
            <w:vAlign w:val="center"/>
          </w:tcPr>
          <w:p>
            <w:pPr>
              <w:spacing w:line="300" w:lineRule="exact"/>
              <w:jc w:val="center"/>
              <w:rPr>
                <w:rFonts w:ascii="????_GBK" w:eastAsia="Times New Roman"/>
              </w:rPr>
            </w:pPr>
            <w:r>
              <w:rPr>
                <w:rFonts w:ascii="????_GBK" w:eastAsia="Times New Roman"/>
              </w:rPr>
              <w:t>较大幅度超过预期目标</w:t>
            </w:r>
          </w:p>
        </w:tc>
        <w:tc>
          <w:tcPr>
            <w:tcW w:w="737" w:type="dxa"/>
            <w:vAlign w:val="center"/>
          </w:tcPr>
          <w:p>
            <w:pPr>
              <w:spacing w:line="300" w:lineRule="exact"/>
              <w:jc w:val="center"/>
              <w:rPr>
                <w:rFonts w:ascii="????_GBK" w:eastAsia="Times New Roman"/>
              </w:rPr>
            </w:pPr>
            <w:r>
              <w:rPr>
                <w:rFonts w:ascii="????_GBK" w:eastAsia="Times New Roman"/>
              </w:rPr>
              <w:t>大幅度超过预期目标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调整商品、运输、服务价格</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落实国家电力、燃气、热力等价格政策，拟定调整方案，推进价格机制改革。</w:t>
            </w:r>
          </w:p>
        </w:tc>
        <w:tc>
          <w:tcPr>
            <w:tcW w:w="2976" w:type="dxa"/>
            <w:vMerge w:val="restart"/>
            <w:vAlign w:val="center"/>
          </w:tcPr>
          <w:p>
            <w:pPr>
              <w:spacing w:line="300" w:lineRule="exact"/>
              <w:jc w:val="left"/>
              <w:rPr>
                <w:rFonts w:ascii="????_GBK" w:eastAsia="Times New Roman"/>
              </w:rPr>
            </w:pPr>
            <w:r>
              <w:rPr>
                <w:rFonts w:ascii="????_GBK" w:eastAsia="Times New Roman"/>
              </w:rPr>
              <w:t>推进国家、省市价格政策落实，完善价格形成机制。</w:t>
            </w:r>
          </w:p>
        </w:tc>
        <w:tc>
          <w:tcPr>
            <w:tcW w:w="1417" w:type="dxa"/>
            <w:vAlign w:val="center"/>
          </w:tcPr>
          <w:p>
            <w:pPr>
              <w:spacing w:line="300" w:lineRule="exact"/>
              <w:jc w:val="left"/>
              <w:rPr>
                <w:rFonts w:ascii="????_GBK" w:eastAsia="Times New Roman"/>
              </w:rPr>
            </w:pPr>
            <w:r>
              <w:rPr>
                <w:rFonts w:ascii="????_GBK" w:eastAsia="Times New Roman"/>
              </w:rPr>
              <w:t>年度重点价格改革任务完成率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≥60%</w:t>
            </w:r>
          </w:p>
        </w:tc>
        <w:tc>
          <w:tcPr>
            <w:tcW w:w="737" w:type="dxa"/>
            <w:vAlign w:val="center"/>
          </w:tcPr>
          <w:p>
            <w:pPr>
              <w:spacing w:line="300" w:lineRule="exact"/>
              <w:jc w:val="center"/>
              <w:rPr>
                <w:rFonts w:ascii="????_GBK" w:eastAsia="Times New Roman"/>
              </w:rPr>
            </w:pPr>
            <w:r>
              <w:rPr>
                <w:rFonts w:ascii="????_GBK" w:eastAsia="Times New Roman"/>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国家、省市价格政策落实情况</w:t>
            </w:r>
          </w:p>
        </w:tc>
        <w:tc>
          <w:tcPr>
            <w:tcW w:w="737" w:type="dxa"/>
            <w:vAlign w:val="center"/>
          </w:tcPr>
          <w:p>
            <w:pPr>
              <w:spacing w:line="300" w:lineRule="exact"/>
              <w:jc w:val="center"/>
              <w:rPr>
                <w:rFonts w:ascii="????_GBK" w:eastAsia="Times New Roman"/>
              </w:rPr>
            </w:pPr>
            <w:r>
              <w:rPr>
                <w:rFonts w:ascii="????_GBK" w:eastAsia="Times New Roman"/>
              </w:rPr>
              <w:t>按规定时限全部完成</w:t>
            </w:r>
          </w:p>
        </w:tc>
        <w:tc>
          <w:tcPr>
            <w:tcW w:w="737" w:type="dxa"/>
            <w:vAlign w:val="center"/>
          </w:tcPr>
          <w:p>
            <w:pPr>
              <w:spacing w:line="300" w:lineRule="exact"/>
              <w:jc w:val="center"/>
              <w:rPr>
                <w:rFonts w:ascii="????_GBK" w:eastAsia="Times New Roman"/>
              </w:rPr>
            </w:pPr>
            <w:r>
              <w:rPr>
                <w:rFonts w:ascii="????_GBK" w:eastAsia="Times New Roman"/>
              </w:rPr>
              <w:t>按规定时限大部分完成</w:t>
            </w:r>
          </w:p>
        </w:tc>
        <w:tc>
          <w:tcPr>
            <w:tcW w:w="737" w:type="dxa"/>
            <w:vAlign w:val="center"/>
          </w:tcPr>
          <w:p>
            <w:pPr>
              <w:spacing w:line="300" w:lineRule="exact"/>
              <w:jc w:val="center"/>
              <w:rPr>
                <w:rFonts w:ascii="????_GBK" w:eastAsia="Times New Roman"/>
              </w:rPr>
            </w:pPr>
            <w:r>
              <w:rPr>
                <w:rFonts w:ascii="????_GBK" w:eastAsia="Times New Roman"/>
              </w:rPr>
              <w:t>按规定时限基本完成</w:t>
            </w:r>
          </w:p>
        </w:tc>
        <w:tc>
          <w:tcPr>
            <w:tcW w:w="737" w:type="dxa"/>
            <w:vAlign w:val="center"/>
          </w:tcPr>
          <w:p>
            <w:pPr>
              <w:spacing w:line="300" w:lineRule="exact"/>
              <w:jc w:val="center"/>
              <w:rPr>
                <w:rFonts w:ascii="????_GBK" w:eastAsia="Times New Roman"/>
              </w:rPr>
            </w:pPr>
            <w:r>
              <w:rPr>
                <w:rFonts w:ascii="????_GBK" w:eastAsia="Times New Roman"/>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拟订收费标准</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根据国家、省市政策和事业发展需要，制定和调整国家机关、公益事业、公用事业、中介服务和重要经营收费的标准并监督执行。</w:t>
            </w:r>
          </w:p>
        </w:tc>
        <w:tc>
          <w:tcPr>
            <w:tcW w:w="2976" w:type="dxa"/>
            <w:vMerge w:val="restart"/>
            <w:vAlign w:val="center"/>
          </w:tcPr>
          <w:p>
            <w:pPr>
              <w:spacing w:line="300" w:lineRule="exact"/>
              <w:jc w:val="left"/>
              <w:rPr>
                <w:rFonts w:ascii="????_GBK" w:eastAsia="Times New Roman"/>
              </w:rPr>
            </w:pPr>
            <w:r>
              <w:rPr>
                <w:rFonts w:ascii="????_GBK" w:eastAsia="Times New Roman"/>
              </w:rPr>
              <w:t>加强全县行政事业性收费标准制定调整工作</w:t>
            </w:r>
          </w:p>
        </w:tc>
        <w:tc>
          <w:tcPr>
            <w:tcW w:w="1417" w:type="dxa"/>
            <w:vAlign w:val="center"/>
          </w:tcPr>
          <w:p>
            <w:pPr>
              <w:spacing w:line="300" w:lineRule="exact"/>
              <w:jc w:val="left"/>
              <w:rPr>
                <w:rFonts w:ascii="????_GBK" w:eastAsia="Times New Roman"/>
              </w:rPr>
            </w:pPr>
            <w:r>
              <w:rPr>
                <w:rFonts w:ascii="????_GBK" w:eastAsia="Times New Roman"/>
              </w:rPr>
              <w:t>收费标准规范有效性</w:t>
            </w:r>
          </w:p>
        </w:tc>
        <w:tc>
          <w:tcPr>
            <w:tcW w:w="737" w:type="dxa"/>
            <w:vAlign w:val="center"/>
          </w:tcPr>
          <w:p>
            <w:pPr>
              <w:spacing w:line="300" w:lineRule="exact"/>
              <w:jc w:val="center"/>
              <w:rPr>
                <w:rFonts w:ascii="????_GBK" w:eastAsia="Times New Roman"/>
              </w:rPr>
            </w:pPr>
            <w:r>
              <w:rPr>
                <w:rFonts w:ascii="????_GBK" w:eastAsia="Times New Roman"/>
              </w:rPr>
              <w:t>规范有效</w:t>
            </w:r>
          </w:p>
        </w:tc>
        <w:tc>
          <w:tcPr>
            <w:tcW w:w="737" w:type="dxa"/>
            <w:vAlign w:val="center"/>
          </w:tcPr>
          <w:p>
            <w:pPr>
              <w:spacing w:line="300" w:lineRule="exact"/>
              <w:jc w:val="center"/>
              <w:rPr>
                <w:rFonts w:ascii="????_GBK" w:eastAsia="Times New Roman"/>
              </w:rPr>
            </w:pPr>
            <w:r>
              <w:rPr>
                <w:rFonts w:ascii="????_GBK" w:eastAsia="Times New Roman"/>
              </w:rPr>
              <w:t>比较规范有效</w:t>
            </w:r>
          </w:p>
        </w:tc>
        <w:tc>
          <w:tcPr>
            <w:tcW w:w="737" w:type="dxa"/>
            <w:vAlign w:val="center"/>
          </w:tcPr>
          <w:p>
            <w:pPr>
              <w:spacing w:line="300" w:lineRule="exact"/>
              <w:jc w:val="center"/>
              <w:rPr>
                <w:rFonts w:ascii="????_GBK" w:eastAsia="Times New Roman"/>
              </w:rPr>
            </w:pPr>
            <w:r>
              <w:rPr>
                <w:rFonts w:ascii="????_GBK" w:eastAsia="Times New Roman"/>
              </w:rPr>
              <w:t>基本规范有效</w:t>
            </w:r>
          </w:p>
        </w:tc>
        <w:tc>
          <w:tcPr>
            <w:tcW w:w="737" w:type="dxa"/>
            <w:vAlign w:val="center"/>
          </w:tcPr>
          <w:p>
            <w:pPr>
              <w:spacing w:line="300" w:lineRule="exact"/>
              <w:jc w:val="center"/>
              <w:rPr>
                <w:rFonts w:ascii="????_GBK" w:eastAsia="Times New Roman"/>
              </w:rPr>
            </w:pPr>
            <w:r>
              <w:rPr>
                <w:rFonts w:ascii="????_GBK" w:eastAsia="Times New Roman"/>
              </w:rPr>
              <w:t>不规范，无效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收费标准制定工作完成率</w:t>
            </w:r>
          </w:p>
        </w:tc>
        <w:tc>
          <w:tcPr>
            <w:tcW w:w="737" w:type="dxa"/>
            <w:vAlign w:val="center"/>
          </w:tcPr>
          <w:p>
            <w:pPr>
              <w:spacing w:line="300" w:lineRule="exact"/>
              <w:jc w:val="center"/>
              <w:rPr>
                <w:rFonts w:ascii="????_GBK" w:eastAsia="Times New Roman"/>
              </w:rPr>
            </w:pPr>
            <w:r>
              <w:rPr>
                <w:rFonts w:ascii="????_GBK" w:eastAsia="Times New Roman"/>
              </w:rPr>
              <w:t>按规定时限全部完成</w:t>
            </w:r>
          </w:p>
        </w:tc>
        <w:tc>
          <w:tcPr>
            <w:tcW w:w="737" w:type="dxa"/>
            <w:vAlign w:val="center"/>
          </w:tcPr>
          <w:p>
            <w:pPr>
              <w:spacing w:line="300" w:lineRule="exact"/>
              <w:jc w:val="center"/>
              <w:rPr>
                <w:rFonts w:ascii="????_GBK" w:eastAsia="Times New Roman"/>
              </w:rPr>
            </w:pPr>
            <w:r>
              <w:rPr>
                <w:rFonts w:ascii="????_GBK" w:eastAsia="Times New Roman"/>
              </w:rPr>
              <w:t>按规定时限大部分完成</w:t>
            </w:r>
          </w:p>
        </w:tc>
        <w:tc>
          <w:tcPr>
            <w:tcW w:w="737" w:type="dxa"/>
            <w:vAlign w:val="center"/>
          </w:tcPr>
          <w:p>
            <w:pPr>
              <w:spacing w:line="300" w:lineRule="exact"/>
              <w:jc w:val="center"/>
              <w:rPr>
                <w:rFonts w:ascii="????_GBK" w:eastAsia="Times New Roman"/>
              </w:rPr>
            </w:pPr>
            <w:r>
              <w:rPr>
                <w:rFonts w:ascii="????_GBK" w:eastAsia="Times New Roman"/>
              </w:rPr>
              <w:t>按规定时限基本完成</w:t>
            </w:r>
          </w:p>
        </w:tc>
        <w:tc>
          <w:tcPr>
            <w:tcW w:w="737" w:type="dxa"/>
            <w:vAlign w:val="center"/>
          </w:tcPr>
          <w:p>
            <w:pPr>
              <w:spacing w:line="300" w:lineRule="exact"/>
              <w:jc w:val="center"/>
              <w:rPr>
                <w:rFonts w:ascii="????_GBK" w:eastAsia="Times New Roman"/>
              </w:rPr>
            </w:pPr>
            <w:r>
              <w:rPr>
                <w:rFonts w:ascii="????_GBK" w:eastAsia="Times New Roman"/>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组织价格听证会</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在制定政府指导价、政府定价过程中，组织召开听证会，征求经营者、消费者和有关方面的意见，对制定价格的必要性、可行性进行论证。</w:t>
            </w:r>
          </w:p>
        </w:tc>
        <w:tc>
          <w:tcPr>
            <w:tcW w:w="2976" w:type="dxa"/>
            <w:vAlign w:val="center"/>
          </w:tcPr>
          <w:p>
            <w:pPr>
              <w:spacing w:line="300" w:lineRule="exact"/>
              <w:jc w:val="left"/>
              <w:rPr>
                <w:rFonts w:ascii="????_GBK" w:eastAsia="Times New Roman"/>
              </w:rPr>
            </w:pPr>
            <w:r>
              <w:rPr>
                <w:rFonts w:ascii="????_GBK" w:eastAsia="Times New Roman"/>
              </w:rPr>
              <w:t>政府价格决策科学和透明</w:t>
            </w:r>
          </w:p>
        </w:tc>
        <w:tc>
          <w:tcPr>
            <w:tcW w:w="1417" w:type="dxa"/>
            <w:vAlign w:val="center"/>
          </w:tcPr>
          <w:p>
            <w:pPr>
              <w:spacing w:line="300" w:lineRule="exact"/>
              <w:jc w:val="left"/>
              <w:rPr>
                <w:rFonts w:ascii="????_GBK" w:eastAsia="Times New Roman"/>
              </w:rPr>
            </w:pPr>
            <w:r>
              <w:rPr>
                <w:rFonts w:ascii="????_GBK" w:eastAsia="Times New Roman"/>
              </w:rPr>
              <w:t>召开听证会工作完成率</w:t>
            </w:r>
          </w:p>
        </w:tc>
        <w:tc>
          <w:tcPr>
            <w:tcW w:w="737" w:type="dxa"/>
            <w:vAlign w:val="center"/>
          </w:tcPr>
          <w:p>
            <w:pPr>
              <w:spacing w:line="300" w:lineRule="exact"/>
              <w:jc w:val="center"/>
              <w:rPr>
                <w:rFonts w:ascii="????_GBK" w:eastAsia="Times New Roman"/>
              </w:rPr>
            </w:pPr>
            <w:r>
              <w:rPr>
                <w:rFonts w:ascii="????_GBK" w:eastAsia="Times New Roman"/>
              </w:rPr>
              <w:t>按规定时限全部完成</w:t>
            </w:r>
          </w:p>
        </w:tc>
        <w:tc>
          <w:tcPr>
            <w:tcW w:w="737" w:type="dxa"/>
            <w:vAlign w:val="center"/>
          </w:tcPr>
          <w:p>
            <w:pPr>
              <w:spacing w:line="300" w:lineRule="exact"/>
              <w:jc w:val="center"/>
              <w:rPr>
                <w:rFonts w:ascii="????_GBK" w:eastAsia="Times New Roman"/>
              </w:rPr>
            </w:pPr>
            <w:r>
              <w:rPr>
                <w:rFonts w:ascii="????_GBK" w:eastAsia="Times New Roman"/>
              </w:rPr>
              <w:t>按规定时限大部分完成</w:t>
            </w:r>
          </w:p>
        </w:tc>
        <w:tc>
          <w:tcPr>
            <w:tcW w:w="737" w:type="dxa"/>
            <w:vAlign w:val="center"/>
          </w:tcPr>
          <w:p>
            <w:pPr>
              <w:spacing w:line="300" w:lineRule="exact"/>
              <w:jc w:val="center"/>
              <w:rPr>
                <w:rFonts w:ascii="????_GBK" w:eastAsia="Times New Roman"/>
              </w:rPr>
            </w:pPr>
            <w:r>
              <w:rPr>
                <w:rFonts w:ascii="????_GBK" w:eastAsia="Times New Roman"/>
              </w:rPr>
              <w:t>按规定时限基本完成</w:t>
            </w:r>
          </w:p>
        </w:tc>
        <w:tc>
          <w:tcPr>
            <w:tcW w:w="737" w:type="dxa"/>
            <w:vAlign w:val="center"/>
          </w:tcPr>
          <w:p>
            <w:pPr>
              <w:spacing w:line="300" w:lineRule="exact"/>
              <w:jc w:val="center"/>
              <w:rPr>
                <w:rFonts w:ascii="????_GBK" w:eastAsia="Times New Roman"/>
              </w:rPr>
            </w:pPr>
            <w:r>
              <w:rPr>
                <w:rFonts w:ascii="????_GBK" w:eastAsia="Times New Roman"/>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司法案件涉案财物、行政工作所涉财物价格认定</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976" w:type="dxa"/>
            <w:vMerge w:val="restart"/>
            <w:vAlign w:val="center"/>
          </w:tcPr>
          <w:p>
            <w:pPr>
              <w:spacing w:line="300" w:lineRule="exact"/>
              <w:jc w:val="left"/>
              <w:rPr>
                <w:rFonts w:ascii="????_GBK" w:eastAsia="Times New Roman"/>
              </w:rPr>
            </w:pPr>
            <w:r>
              <w:rPr>
                <w:rFonts w:ascii="????_GBK" w:eastAsia="Times New Roman"/>
              </w:rPr>
              <w:t>接受司法机关、行政机关提出的价格认定事项，遵循依法、公正、科学、效率的原则，作出准确、可靠的价格认定结论，为司法机关办理相关案件、为行政工作提供依据，保障司法、行政工作顺利进行</w:t>
            </w:r>
          </w:p>
        </w:tc>
        <w:tc>
          <w:tcPr>
            <w:tcW w:w="1417" w:type="dxa"/>
            <w:vAlign w:val="center"/>
          </w:tcPr>
          <w:p>
            <w:pPr>
              <w:spacing w:line="300" w:lineRule="exact"/>
              <w:jc w:val="left"/>
              <w:rPr>
                <w:rFonts w:ascii="????_GBK" w:eastAsia="Times New Roman"/>
              </w:rPr>
            </w:pPr>
            <w:r>
              <w:rPr>
                <w:rFonts w:ascii="????_GBK" w:eastAsia="Times New Roman"/>
              </w:rPr>
              <w:t>认定结论按期完成率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办案准确率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纪检监察案件涉案财物价格认定</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经纪检监察机关提出，办理纪检监察机关查办案件涉案财物价格认定；办理本级价格认定复核事项</w:t>
            </w:r>
          </w:p>
        </w:tc>
        <w:tc>
          <w:tcPr>
            <w:tcW w:w="2976" w:type="dxa"/>
            <w:vMerge w:val="restart"/>
            <w:vAlign w:val="center"/>
          </w:tcPr>
          <w:p>
            <w:pPr>
              <w:spacing w:line="300" w:lineRule="exact"/>
              <w:jc w:val="left"/>
              <w:rPr>
                <w:rFonts w:ascii="????_GBK" w:eastAsia="Times New Roman"/>
              </w:rPr>
            </w:pPr>
            <w:r>
              <w:rPr>
                <w:rFonts w:ascii="????_GBK" w:eastAsia="Times New Roman"/>
              </w:rPr>
              <w:t>接受纪检监察机关提出的价格认定事项，遵循依法、公正、科学、效率的原则，作出准确、可靠的价格认定结论，为纪检监察机关办理案件提供依据，保障纪检监察工作顺利进行</w:t>
            </w:r>
          </w:p>
        </w:tc>
        <w:tc>
          <w:tcPr>
            <w:tcW w:w="1417" w:type="dxa"/>
            <w:vAlign w:val="center"/>
          </w:tcPr>
          <w:p>
            <w:pPr>
              <w:spacing w:line="300" w:lineRule="exact"/>
              <w:jc w:val="left"/>
              <w:rPr>
                <w:rFonts w:ascii="????_GBK" w:eastAsia="Times New Roman"/>
              </w:rPr>
            </w:pPr>
            <w:r>
              <w:rPr>
                <w:rFonts w:ascii="????_GBK" w:eastAsia="Times New Roman"/>
              </w:rPr>
              <w:t>价格认定案件办结率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案件复核维持率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价格成本调查和监审</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建立健全产品成本信息网络，组织成本汇总和成本分析；对列入《县价格成本监审管理目录》的商品和收费项目进行调定价监审。</w:t>
            </w:r>
          </w:p>
        </w:tc>
        <w:tc>
          <w:tcPr>
            <w:tcW w:w="2976" w:type="dxa"/>
            <w:vAlign w:val="center"/>
          </w:tcPr>
          <w:p>
            <w:pPr>
              <w:spacing w:line="300" w:lineRule="exact"/>
              <w:jc w:val="left"/>
              <w:rPr>
                <w:rFonts w:ascii="????_GBK" w:eastAsia="Times New Roman"/>
              </w:rPr>
            </w:pPr>
            <w:r>
              <w:rPr>
                <w:rFonts w:ascii="????_GBK" w:eastAsia="Times New Roman"/>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tc>
        <w:tc>
          <w:tcPr>
            <w:tcW w:w="1417" w:type="dxa"/>
            <w:vAlign w:val="center"/>
          </w:tcPr>
          <w:p>
            <w:pPr>
              <w:spacing w:line="300" w:lineRule="exact"/>
              <w:jc w:val="left"/>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实施全县农产品成本调查</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确定调查品种、调查户，进行组织实施和检查监督,并对调查品种数据进行收集、审核、汇总、分析。</w:t>
            </w:r>
          </w:p>
        </w:tc>
        <w:tc>
          <w:tcPr>
            <w:tcW w:w="2976" w:type="dxa"/>
            <w:vMerge w:val="restart"/>
            <w:vAlign w:val="center"/>
          </w:tcPr>
          <w:p>
            <w:pPr>
              <w:spacing w:line="300" w:lineRule="exact"/>
              <w:jc w:val="left"/>
              <w:rPr>
                <w:rFonts w:ascii="????_GBK" w:eastAsia="Times New Roman"/>
              </w:rPr>
            </w:pPr>
            <w:r>
              <w:rPr>
                <w:rFonts w:ascii="????_GBK" w:eastAsia="Times New Roman"/>
              </w:rPr>
              <w:t>确保农产品调查合理布局，样本具有代表性，提高调查数据的科学性，为上级和县政府提供成本数据、分析预测趋势，为制定宏观经济政策、价格政策、稳定市场物价服务。</w:t>
            </w:r>
          </w:p>
        </w:tc>
        <w:tc>
          <w:tcPr>
            <w:tcW w:w="1417" w:type="dxa"/>
            <w:vAlign w:val="center"/>
          </w:tcPr>
          <w:p>
            <w:pPr>
              <w:spacing w:line="300" w:lineRule="exact"/>
              <w:jc w:val="left"/>
              <w:rPr>
                <w:rFonts w:ascii="????_GBK" w:eastAsia="Times New Roman"/>
              </w:rPr>
            </w:pPr>
            <w:r>
              <w:rPr>
                <w:rFonts w:ascii="????_GBK" w:eastAsia="Times New Roman"/>
              </w:rPr>
              <w:t>农产品成本调查任务完成率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成本调查结果置信度</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价格成本调查和定价成本监审</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建立健全成本信息网络，组织成本汇总和成本分析；对列入《县价格成本监审管理目录》的商品和收费项目进行调定价监审。</w:t>
            </w:r>
          </w:p>
        </w:tc>
        <w:tc>
          <w:tcPr>
            <w:tcW w:w="2976" w:type="dxa"/>
            <w:vAlign w:val="center"/>
          </w:tcPr>
          <w:p>
            <w:pPr>
              <w:spacing w:line="300" w:lineRule="exact"/>
              <w:jc w:val="left"/>
              <w:rPr>
                <w:rFonts w:ascii="????_GBK" w:eastAsia="Times New Roman"/>
              </w:rPr>
            </w:pPr>
            <w:r>
              <w:rPr>
                <w:rFonts w:ascii="????_GBK" w:eastAsia="Times New Roman"/>
              </w:rPr>
              <w:t>使成本监审工作规范化、程序化，确保成本监审工作依法有序地开展，为政府制定价格提供成本数据支撑。</w:t>
            </w:r>
          </w:p>
        </w:tc>
        <w:tc>
          <w:tcPr>
            <w:tcW w:w="1417" w:type="dxa"/>
            <w:vAlign w:val="center"/>
          </w:tcPr>
          <w:p>
            <w:pPr>
              <w:spacing w:line="300" w:lineRule="exact"/>
              <w:jc w:val="left"/>
              <w:rPr>
                <w:rFonts w:ascii="????_GBK" w:eastAsia="Times New Roman"/>
              </w:rPr>
            </w:pPr>
            <w:r>
              <w:rPr>
                <w:rFonts w:ascii="????_GBK" w:eastAsia="Times New Roman"/>
              </w:rPr>
              <w:t>商品和收费定价监审率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价格监督检查</w:t>
            </w:r>
          </w:p>
        </w:tc>
        <w:tc>
          <w:tcPr>
            <w:tcW w:w="1276" w:type="dxa"/>
            <w:vAlign w:val="center"/>
          </w:tcPr>
          <w:p>
            <w:pPr>
              <w:spacing w:line="300" w:lineRule="exact"/>
              <w:jc w:val="left"/>
              <w:rPr>
                <w:rFonts w:ascii="????_GBK" w:eastAsia="Times New Roman"/>
              </w:rPr>
            </w:pPr>
            <w:r>
              <w:rPr>
                <w:rFonts w:ascii="????_GBK" w:eastAsia="Times New Roman"/>
              </w:rPr>
              <w:t>5.00</w:t>
            </w:r>
          </w:p>
        </w:tc>
        <w:tc>
          <w:tcPr>
            <w:tcW w:w="2976" w:type="dxa"/>
            <w:vAlign w:val="center"/>
          </w:tcPr>
          <w:p>
            <w:pPr>
              <w:spacing w:line="300" w:lineRule="exact"/>
              <w:jc w:val="left"/>
              <w:rPr>
                <w:rFonts w:ascii="????_GBK" w:eastAsia="Times New Roman"/>
              </w:rPr>
            </w:pPr>
            <w:r>
              <w:rPr>
                <w:rFonts w:ascii="????_GBK" w:eastAsia="Times New Roman"/>
              </w:rPr>
              <w:t>组织价格和收费监督检查；受理价格处罚的复议案件和申诉案件；依法办理价格举报案件；推行明码标价和价格、收费公示制度，对市场放开商品实施价格监管，加强反价格欺诈反垄断工作。</w:t>
            </w:r>
          </w:p>
        </w:tc>
        <w:tc>
          <w:tcPr>
            <w:tcW w:w="2976" w:type="dxa"/>
            <w:vAlign w:val="center"/>
          </w:tcPr>
          <w:p>
            <w:pPr>
              <w:spacing w:line="300" w:lineRule="exact"/>
              <w:jc w:val="left"/>
              <w:rPr>
                <w:rFonts w:ascii="????_GBK" w:eastAsia="Times New Roman"/>
              </w:rPr>
            </w:pPr>
            <w:r>
              <w:rPr>
                <w:rFonts w:ascii="????_GBK" w:eastAsia="Times New Roman"/>
              </w:rPr>
              <w:t>治理价格违法行为，规范收费环境和价格秩序；确保价格行政执法、处罚、审理程序合法；推行明码标价，促进明码实价；促进经营者价格自律。</w:t>
            </w:r>
          </w:p>
        </w:tc>
        <w:tc>
          <w:tcPr>
            <w:tcW w:w="1417" w:type="dxa"/>
            <w:vAlign w:val="center"/>
          </w:tcPr>
          <w:p>
            <w:pPr>
              <w:spacing w:line="300" w:lineRule="exact"/>
              <w:jc w:val="left"/>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法制与案件审理</w:t>
            </w:r>
          </w:p>
        </w:tc>
        <w:tc>
          <w:tcPr>
            <w:tcW w:w="1276" w:type="dxa"/>
            <w:vMerge w:val="restart"/>
            <w:vAlign w:val="center"/>
          </w:tcPr>
          <w:p>
            <w:pPr>
              <w:spacing w:line="300" w:lineRule="exact"/>
              <w:jc w:val="left"/>
              <w:rPr>
                <w:rFonts w:ascii="????_GBK" w:eastAsia="Times New Roman"/>
              </w:rPr>
            </w:pPr>
          </w:p>
        </w:tc>
        <w:tc>
          <w:tcPr>
            <w:tcW w:w="2976" w:type="dxa"/>
            <w:vMerge w:val="restart"/>
            <w:vAlign w:val="center"/>
          </w:tcPr>
          <w:p>
            <w:pPr>
              <w:spacing w:line="300" w:lineRule="exact"/>
              <w:jc w:val="left"/>
              <w:rPr>
                <w:rFonts w:ascii="????_GBK" w:eastAsia="Times New Roman"/>
              </w:rPr>
            </w:pPr>
            <w:r>
              <w:rPr>
                <w:rFonts w:ascii="????_GBK" w:eastAsia="Times New Roman"/>
              </w:rPr>
              <w:t>对全县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976" w:type="dxa"/>
            <w:vMerge w:val="restart"/>
            <w:vAlign w:val="center"/>
          </w:tcPr>
          <w:p>
            <w:pPr>
              <w:spacing w:line="300" w:lineRule="exact"/>
              <w:jc w:val="left"/>
              <w:rPr>
                <w:rFonts w:ascii="????_GBK" w:eastAsia="Times New Roman"/>
              </w:rPr>
            </w:pPr>
            <w:r>
              <w:rPr>
                <w:rFonts w:ascii="????_GBK" w:eastAsia="Times New Roman"/>
              </w:rPr>
              <w:t>确保依法办案，确保价格行政执法、处罚、审理程序合法。</w:t>
            </w:r>
          </w:p>
        </w:tc>
        <w:tc>
          <w:tcPr>
            <w:tcW w:w="1417" w:type="dxa"/>
            <w:vAlign w:val="center"/>
          </w:tcPr>
          <w:p>
            <w:pPr>
              <w:spacing w:line="300" w:lineRule="exact"/>
              <w:jc w:val="left"/>
              <w:rPr>
                <w:rFonts w:ascii="????_GBK" w:eastAsia="Times New Roman"/>
              </w:rPr>
            </w:pPr>
            <w:r>
              <w:rPr>
                <w:rFonts w:ascii="????_GBK" w:eastAsia="Times New Roman"/>
              </w:rPr>
              <w:t>案件办结率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价格违法案件处理完成率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价格处罚的行政复议与诉讼完成率</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≥70%</w:t>
            </w:r>
          </w:p>
        </w:tc>
        <w:tc>
          <w:tcPr>
            <w:tcW w:w="737" w:type="dxa"/>
            <w:vAlign w:val="center"/>
          </w:tcPr>
          <w:p>
            <w:pPr>
              <w:spacing w:line="300" w:lineRule="exact"/>
              <w:jc w:val="center"/>
              <w:rPr>
                <w:rFonts w:ascii="????_GBK" w:eastAsia="Times New Roman"/>
              </w:rPr>
            </w:pPr>
            <w:r>
              <w:rPr>
                <w:rFonts w:ascii="????_GBK" w:eastAsia="Times New Roman"/>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_GBK" w:eastAsia="Times New Roman"/>
                <w:b/>
              </w:rPr>
            </w:pPr>
            <w:r>
              <w:rPr>
                <w:rFonts w:ascii="????_GBK" w:eastAsia="Times New Roman"/>
                <w:b/>
              </w:rPr>
              <w:t>　　商品和服务价格监督检查</w:t>
            </w:r>
          </w:p>
        </w:tc>
        <w:tc>
          <w:tcPr>
            <w:tcW w:w="1276" w:type="dxa"/>
            <w:vMerge w:val="restart"/>
            <w:vAlign w:val="center"/>
          </w:tcPr>
          <w:p>
            <w:pPr>
              <w:spacing w:line="300" w:lineRule="exact"/>
              <w:jc w:val="left"/>
              <w:rPr>
                <w:rFonts w:ascii="????_GBK" w:eastAsia="Times New Roman"/>
              </w:rPr>
            </w:pPr>
            <w:r>
              <w:rPr>
                <w:rFonts w:ascii="????_GBK" w:eastAsia="Times New Roman"/>
              </w:rPr>
              <w:t>5.00</w:t>
            </w:r>
          </w:p>
        </w:tc>
        <w:tc>
          <w:tcPr>
            <w:tcW w:w="2976" w:type="dxa"/>
            <w:vMerge w:val="restart"/>
            <w:vAlign w:val="center"/>
          </w:tcPr>
          <w:p>
            <w:pPr>
              <w:spacing w:line="300" w:lineRule="exact"/>
              <w:jc w:val="left"/>
              <w:rPr>
                <w:rFonts w:ascii="????_GBK" w:eastAsia="Times New Roman"/>
              </w:rPr>
            </w:pPr>
            <w:r>
              <w:rPr>
                <w:rFonts w:ascii="????_GBK" w:eastAsia="Times New Roman"/>
              </w:rPr>
              <w:t>规范市场价格秩序，打击虚构原价、虚假打折等欺诈行为；完善电子商务、网络购物、快递等新兴服务业价格动态应急处置机制，打击价格违法行为，防范价格异动。</w:t>
            </w:r>
          </w:p>
        </w:tc>
        <w:tc>
          <w:tcPr>
            <w:tcW w:w="2976" w:type="dxa"/>
            <w:vMerge w:val="restart"/>
            <w:vAlign w:val="center"/>
          </w:tcPr>
          <w:p>
            <w:pPr>
              <w:spacing w:line="300" w:lineRule="exact"/>
              <w:jc w:val="left"/>
              <w:rPr>
                <w:rFonts w:ascii="????_GBK" w:eastAsia="Times New Roman"/>
              </w:rPr>
            </w:pPr>
            <w:r>
              <w:rPr>
                <w:rFonts w:ascii="????_GBK" w:eastAsia="Times New Roman"/>
              </w:rPr>
              <w:t>治理价格违法行为，规范收费环境和价格秩序；确保价格行政执法、处罚、审理程序合法；推行明码标价，促进明码实价；促进经营者价格自律。</w:t>
            </w:r>
          </w:p>
        </w:tc>
        <w:tc>
          <w:tcPr>
            <w:tcW w:w="1417" w:type="dxa"/>
            <w:vAlign w:val="center"/>
          </w:tcPr>
          <w:p>
            <w:pPr>
              <w:spacing w:line="300" w:lineRule="exact"/>
              <w:jc w:val="left"/>
              <w:rPr>
                <w:rFonts w:ascii="????_GBK" w:eastAsia="Times New Roman"/>
              </w:rPr>
            </w:pPr>
            <w:r>
              <w:rPr>
                <w:rFonts w:ascii="????_GBK" w:eastAsia="Times New Roman"/>
              </w:rPr>
              <w:t>欺诈案件处理率</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_GBK" w:eastAsia="Times New Roman"/>
                <w:b/>
              </w:rPr>
            </w:pPr>
          </w:p>
        </w:tc>
        <w:tc>
          <w:tcPr>
            <w:tcW w:w="12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2976" w:type="dxa"/>
            <w:vMerge w:val="continue"/>
            <w:vAlign w:val="center"/>
          </w:tcPr>
          <w:p>
            <w:pPr>
              <w:spacing w:line="300" w:lineRule="exact"/>
              <w:jc w:val="left"/>
              <w:rPr>
                <w:rFonts w:ascii="????_GBK" w:eastAsia="Times New Roman"/>
              </w:rPr>
            </w:pPr>
          </w:p>
        </w:tc>
        <w:tc>
          <w:tcPr>
            <w:tcW w:w="1417" w:type="dxa"/>
            <w:vAlign w:val="center"/>
          </w:tcPr>
          <w:p>
            <w:pPr>
              <w:spacing w:line="300" w:lineRule="exact"/>
              <w:jc w:val="left"/>
              <w:rPr>
                <w:rFonts w:ascii="????_GBK" w:eastAsia="Times New Roman"/>
              </w:rPr>
            </w:pPr>
            <w:r>
              <w:rPr>
                <w:rFonts w:ascii="????_GBK" w:eastAsia="Times New Roman"/>
              </w:rPr>
              <w:t>价格和收费监督检查目标完成率</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物价政务管理</w:t>
            </w:r>
          </w:p>
        </w:tc>
        <w:tc>
          <w:tcPr>
            <w:tcW w:w="1276" w:type="dxa"/>
            <w:vAlign w:val="center"/>
          </w:tcPr>
          <w:p>
            <w:pPr>
              <w:spacing w:line="300" w:lineRule="exact"/>
              <w:jc w:val="left"/>
              <w:rPr>
                <w:rFonts w:ascii="????_GBK" w:eastAsia="Times New Roman"/>
              </w:rPr>
            </w:pPr>
            <w:r>
              <w:rPr>
                <w:rFonts w:ascii="????_GBK" w:eastAsia="Times New Roman"/>
              </w:rPr>
              <w:t>45.00</w:t>
            </w:r>
          </w:p>
        </w:tc>
        <w:tc>
          <w:tcPr>
            <w:tcW w:w="2976" w:type="dxa"/>
            <w:vAlign w:val="center"/>
          </w:tcPr>
          <w:p>
            <w:pPr>
              <w:spacing w:line="300" w:lineRule="exact"/>
              <w:jc w:val="left"/>
              <w:rPr>
                <w:rFonts w:ascii="????_GBK" w:eastAsia="Times New Roman"/>
              </w:rPr>
            </w:pPr>
            <w:r>
              <w:rPr>
                <w:rFonts w:ascii="????_GBK" w:eastAsia="Times New Roman"/>
              </w:rPr>
              <w:t>负责机关综合业务管理和机关综合事务管理。</w:t>
            </w:r>
          </w:p>
        </w:tc>
        <w:tc>
          <w:tcPr>
            <w:tcW w:w="2976" w:type="dxa"/>
            <w:vAlign w:val="center"/>
          </w:tcPr>
          <w:p>
            <w:pPr>
              <w:spacing w:line="300" w:lineRule="exact"/>
              <w:jc w:val="left"/>
              <w:rPr>
                <w:rFonts w:ascii="????_GBK" w:eastAsia="Times New Roman"/>
              </w:rPr>
            </w:pPr>
            <w:r>
              <w:rPr>
                <w:rFonts w:ascii="????_GBK" w:eastAsia="Times New Roman"/>
              </w:rPr>
              <w:t>建立舆情应急处置机制，健全价格舆情监测系统。</w:t>
            </w:r>
          </w:p>
        </w:tc>
        <w:tc>
          <w:tcPr>
            <w:tcW w:w="1417" w:type="dxa"/>
            <w:vAlign w:val="center"/>
          </w:tcPr>
          <w:p>
            <w:pPr>
              <w:spacing w:line="300" w:lineRule="exact"/>
              <w:jc w:val="left"/>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c>
          <w:tcPr>
            <w:tcW w:w="737" w:type="dxa"/>
            <w:vAlign w:val="center"/>
          </w:tcPr>
          <w:p>
            <w:pPr>
              <w:spacing w:line="300" w:lineRule="exact"/>
              <w:jc w:val="center"/>
              <w:rPr>
                <w:rFonts w:ascii="????_GBK" w:eastAsia="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综合业务管理</w:t>
            </w:r>
          </w:p>
        </w:tc>
        <w:tc>
          <w:tcPr>
            <w:tcW w:w="1276" w:type="dxa"/>
            <w:vAlign w:val="center"/>
          </w:tcPr>
          <w:p>
            <w:pPr>
              <w:spacing w:line="300" w:lineRule="exact"/>
              <w:jc w:val="left"/>
              <w:rPr>
                <w:rFonts w:ascii="????_GBK" w:eastAsia="Times New Roman"/>
              </w:rPr>
            </w:pPr>
            <w:r>
              <w:rPr>
                <w:rFonts w:ascii="????_GBK" w:eastAsia="Times New Roman"/>
              </w:rPr>
              <w:t>45.00</w:t>
            </w:r>
          </w:p>
        </w:tc>
        <w:tc>
          <w:tcPr>
            <w:tcW w:w="2976" w:type="dxa"/>
            <w:vAlign w:val="center"/>
          </w:tcPr>
          <w:p>
            <w:pPr>
              <w:spacing w:line="300" w:lineRule="exact"/>
              <w:jc w:val="left"/>
              <w:rPr>
                <w:rFonts w:ascii="????_GBK" w:eastAsia="Times New Roman"/>
              </w:rPr>
            </w:pPr>
            <w:r>
              <w:rPr>
                <w:rFonts w:ascii="????_GBK" w:eastAsia="Times New Roman"/>
              </w:rPr>
              <w:t>按照市场化的方向推进价格改革；建立舆情应急处置机制，健全价格舆情监测系统。</w:t>
            </w:r>
          </w:p>
        </w:tc>
        <w:tc>
          <w:tcPr>
            <w:tcW w:w="2976" w:type="dxa"/>
            <w:vAlign w:val="center"/>
          </w:tcPr>
          <w:p>
            <w:pPr>
              <w:spacing w:line="300" w:lineRule="exact"/>
              <w:jc w:val="left"/>
              <w:rPr>
                <w:rFonts w:ascii="????_GBK" w:eastAsia="Times New Roman"/>
              </w:rPr>
            </w:pPr>
            <w:r>
              <w:rPr>
                <w:rFonts w:ascii="????_GBK" w:eastAsia="Times New Roman"/>
              </w:rPr>
              <w:t>完善舆情应急处置平台</w:t>
            </w:r>
          </w:p>
        </w:tc>
        <w:tc>
          <w:tcPr>
            <w:tcW w:w="1417" w:type="dxa"/>
            <w:vAlign w:val="center"/>
          </w:tcPr>
          <w:p>
            <w:pPr>
              <w:spacing w:line="300" w:lineRule="exact"/>
              <w:jc w:val="left"/>
              <w:rPr>
                <w:rFonts w:ascii="????_GBK" w:eastAsia="Times New Roman"/>
              </w:rPr>
            </w:pPr>
            <w:r>
              <w:rPr>
                <w:rFonts w:ascii="????_GBK" w:eastAsia="Times New Roman"/>
              </w:rPr>
              <w:t>舆情应急处理及时性</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_GBK" w:eastAsia="Times New Roman"/>
                <w:b/>
              </w:rPr>
            </w:pPr>
            <w:r>
              <w:rPr>
                <w:rFonts w:ascii="????_GBK" w:eastAsia="Times New Roman"/>
                <w:b/>
              </w:rPr>
              <w:t>　　综合事务管理</w:t>
            </w:r>
          </w:p>
        </w:tc>
        <w:tc>
          <w:tcPr>
            <w:tcW w:w="1276" w:type="dxa"/>
            <w:vAlign w:val="center"/>
          </w:tcPr>
          <w:p>
            <w:pPr>
              <w:spacing w:line="300" w:lineRule="exact"/>
              <w:jc w:val="left"/>
              <w:rPr>
                <w:rFonts w:ascii="????_GBK" w:eastAsia="Times New Roman"/>
              </w:rPr>
            </w:pPr>
          </w:p>
        </w:tc>
        <w:tc>
          <w:tcPr>
            <w:tcW w:w="2976" w:type="dxa"/>
            <w:vAlign w:val="center"/>
          </w:tcPr>
          <w:p>
            <w:pPr>
              <w:spacing w:line="300" w:lineRule="exact"/>
              <w:jc w:val="left"/>
              <w:rPr>
                <w:rFonts w:ascii="????_GBK" w:eastAsia="Times New Roman"/>
              </w:rPr>
            </w:pPr>
            <w:r>
              <w:rPr>
                <w:rFonts w:ascii="????_GBK" w:eastAsia="Times New Roman"/>
              </w:rPr>
              <w:t>围绕提高行政效率和服务质量，强化管理措施，完善制度保障，打造廉洁高效的价格政务服务环境。根据当事人的申请，依法对各类市场主体之间的价格（或损失）争议进行调解处理。</w:t>
            </w:r>
          </w:p>
        </w:tc>
        <w:tc>
          <w:tcPr>
            <w:tcW w:w="2976" w:type="dxa"/>
            <w:vAlign w:val="center"/>
          </w:tcPr>
          <w:p>
            <w:pPr>
              <w:spacing w:line="300" w:lineRule="exact"/>
              <w:jc w:val="left"/>
              <w:rPr>
                <w:rFonts w:ascii="????_GBK" w:eastAsia="Times New Roman"/>
              </w:rPr>
            </w:pPr>
            <w:r>
              <w:rPr>
                <w:rFonts w:ascii="????_GBK" w:eastAsia="Times New Roman"/>
              </w:rPr>
              <w:t>增强行政调解与人民调解、司法调解的衔接配合，充分发挥价格争议行政调解在预防、化解价格争议矛盾纠纷中的作用。</w:t>
            </w:r>
          </w:p>
        </w:tc>
        <w:tc>
          <w:tcPr>
            <w:tcW w:w="1417" w:type="dxa"/>
            <w:vAlign w:val="center"/>
          </w:tcPr>
          <w:p>
            <w:pPr>
              <w:spacing w:line="300" w:lineRule="exact"/>
              <w:jc w:val="left"/>
              <w:rPr>
                <w:rFonts w:ascii="????_GBK" w:eastAsia="Times New Roman"/>
              </w:rPr>
            </w:pPr>
            <w:r>
              <w:rPr>
                <w:rFonts w:ascii="????_GBK" w:eastAsia="Times New Roman"/>
              </w:rPr>
              <w:t>综合事务管理工作完成率</w:t>
            </w:r>
          </w:p>
        </w:tc>
        <w:tc>
          <w:tcPr>
            <w:tcW w:w="737" w:type="dxa"/>
            <w:vAlign w:val="center"/>
          </w:tcPr>
          <w:p>
            <w:pPr>
              <w:spacing w:line="300" w:lineRule="exact"/>
              <w:jc w:val="center"/>
              <w:rPr>
                <w:rFonts w:ascii="????_GBK" w:eastAsia="Times New Roman"/>
              </w:rPr>
            </w:pPr>
            <w:r>
              <w:rPr>
                <w:rFonts w:ascii="????_GBK" w:eastAsia="Times New Roman"/>
              </w:rPr>
              <w:t>≥95%</w:t>
            </w:r>
          </w:p>
        </w:tc>
        <w:tc>
          <w:tcPr>
            <w:tcW w:w="737" w:type="dxa"/>
            <w:vAlign w:val="center"/>
          </w:tcPr>
          <w:p>
            <w:pPr>
              <w:spacing w:line="300" w:lineRule="exact"/>
              <w:jc w:val="center"/>
              <w:rPr>
                <w:rFonts w:ascii="????_GBK" w:eastAsia="Times New Roman"/>
              </w:rPr>
            </w:pPr>
            <w:r>
              <w:rPr>
                <w:rFonts w:ascii="????_GBK" w:eastAsia="Times New Roman"/>
              </w:rPr>
              <w:t>≥90%</w:t>
            </w:r>
          </w:p>
        </w:tc>
        <w:tc>
          <w:tcPr>
            <w:tcW w:w="737" w:type="dxa"/>
            <w:vAlign w:val="center"/>
          </w:tcPr>
          <w:p>
            <w:pPr>
              <w:spacing w:line="300" w:lineRule="exact"/>
              <w:jc w:val="center"/>
              <w:rPr>
                <w:rFonts w:ascii="????_GBK" w:eastAsia="Times New Roman"/>
              </w:rPr>
            </w:pPr>
            <w:r>
              <w:rPr>
                <w:rFonts w:ascii="????_GBK" w:eastAsia="Times New Roman"/>
              </w:rPr>
              <w:t>≥80%</w:t>
            </w:r>
          </w:p>
        </w:tc>
        <w:tc>
          <w:tcPr>
            <w:tcW w:w="737" w:type="dxa"/>
            <w:vAlign w:val="center"/>
          </w:tcPr>
          <w:p>
            <w:pPr>
              <w:spacing w:line="300" w:lineRule="exact"/>
              <w:jc w:val="center"/>
              <w:rPr>
                <w:rFonts w:ascii="????_GBK" w:eastAsia="Times New Roman"/>
              </w:rPr>
            </w:pPr>
            <w:r>
              <w:rPr>
                <w:rFonts w:ascii="????_GBK" w:eastAsia="Times New Roman"/>
              </w:rPr>
              <w:t>&lt;80%</w:t>
            </w:r>
          </w:p>
        </w:tc>
      </w:tr>
    </w:tbl>
    <w:p>
      <w:pPr>
        <w:numPr>
          <w:ilvl w:val="0"/>
          <w:numId w:val="4"/>
        </w:numPr>
        <w:tabs>
          <w:tab w:val="left" w:pos="634"/>
        </w:tabs>
        <w:autoSpaceDE w:val="0"/>
        <w:autoSpaceDN w:val="0"/>
        <w:adjustRightInd w:val="0"/>
        <w:spacing w:line="584" w:lineRule="exact"/>
        <w:ind w:firstLine="643" w:firstLineChars="200"/>
        <w:jc w:val="left"/>
        <w:rPr>
          <w:rFonts w:hint="eastAsia" w:ascii="楷体" w:hAnsi="楷体" w:eastAsia="楷体" w:cs="楷体"/>
          <w:b/>
          <w:bCs/>
          <w:color w:val="333333"/>
          <w:kern w:val="0"/>
          <w:sz w:val="32"/>
          <w:szCs w:val="32"/>
          <w:shd w:val="clear" w:color="auto" w:fill="FFFFFF"/>
        </w:rPr>
      </w:pPr>
      <w:r>
        <w:rPr>
          <w:rFonts w:hint="eastAsia" w:ascii="楷体" w:hAnsi="楷体" w:eastAsia="楷体" w:cs="楷体"/>
          <w:b/>
          <w:bCs/>
          <w:color w:val="333333"/>
          <w:kern w:val="0"/>
          <w:sz w:val="32"/>
          <w:szCs w:val="32"/>
          <w:shd w:val="clear" w:color="auto" w:fill="FFFFFF"/>
        </w:rPr>
        <w:t>政府采购决算情况</w:t>
      </w:r>
    </w:p>
    <w:p>
      <w:pPr>
        <w:numPr>
          <w:ilvl w:val="0"/>
          <w:numId w:val="0"/>
        </w:numPr>
        <w:autoSpaceDE w:val="0"/>
        <w:autoSpaceDN w:val="0"/>
        <w:adjustRightInd w:val="0"/>
        <w:spacing w:line="584" w:lineRule="exact"/>
        <w:ind w:firstLine="640" w:firstLineChars="200"/>
        <w:jc w:val="left"/>
        <w:rPr>
          <w:rFonts w:eastAsia="仿宋_GB2312"/>
          <w:color w:val="333333"/>
          <w:kern w:val="0"/>
          <w:sz w:val="32"/>
          <w:szCs w:val="32"/>
          <w:shd w:val="clear" w:color="auto" w:fill="FFFFFF"/>
        </w:rPr>
      </w:pPr>
      <w:r>
        <w:rPr>
          <w:rFonts w:hint="eastAsia" w:eastAsia="仿宋_GB2312"/>
          <w:kern w:val="0"/>
          <w:sz w:val="32"/>
          <w:szCs w:val="32"/>
          <w:lang w:val="en-US" w:eastAsia="zh-CN"/>
        </w:rPr>
        <w:t>无政府</w:t>
      </w:r>
      <w:r>
        <w:rPr>
          <w:rFonts w:hint="eastAsia" w:eastAsia="仿宋_GB2312"/>
          <w:kern w:val="0"/>
          <w:sz w:val="32"/>
          <w:szCs w:val="32"/>
        </w:rPr>
        <w:t>采购项目</w:t>
      </w:r>
      <w:r>
        <w:rPr>
          <w:rFonts w:hint="eastAsia" w:eastAsia="仿宋_GB2312"/>
          <w:color w:val="333333"/>
          <w:kern w:val="0"/>
          <w:sz w:val="32"/>
          <w:szCs w:val="32"/>
          <w:shd w:val="clear" w:color="auto" w:fill="FFFFFF"/>
        </w:rPr>
        <w:t>。</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（九）国有资产信息</w:t>
      </w:r>
    </w:p>
    <w:p>
      <w:pPr>
        <w:widowControl/>
        <w:spacing w:line="584" w:lineRule="exact"/>
        <w:ind w:firstLine="640" w:firstLineChars="200"/>
        <w:jc w:val="left"/>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截至2016年12月31日，本部门共有车辆1辆，其中，一般公务用车1辆；其他国有资产（电脑、打印机等通用设备及办公家具类）19.00万元；单价50万元以上的设备0万元。</w:t>
      </w:r>
    </w:p>
    <w:p>
      <w:pPr>
        <w:ind w:firstLine="640" w:firstLineChars="200"/>
        <w:rPr>
          <w:rFonts w:ascii="方正小标宋简体" w:hAnsi="Times New Roman" w:eastAsia="方正小标宋简体"/>
          <w:sz w:val="44"/>
          <w:szCs w:val="44"/>
        </w:rPr>
      </w:pPr>
      <w:r>
        <w:rPr>
          <w:rFonts w:hint="eastAsia" w:eastAsia="仿宋_GB2312"/>
          <w:sz w:val="32"/>
          <w:szCs w:val="32"/>
        </w:rPr>
        <w:t>（十）其他需要说明的情况</w:t>
      </w:r>
    </w:p>
    <w:p>
      <w:pPr>
        <w:spacing w:line="560" w:lineRule="exact"/>
        <w:ind w:firstLine="640" w:firstLineChars="200"/>
        <w:rPr>
          <w:rFonts w:hint="eastAsia" w:ascii="仿宋_GB2312" w:hAnsi="仿宋" w:eastAsia="仿宋_GB2312"/>
          <w:sz w:val="32"/>
          <w:szCs w:val="32"/>
        </w:rPr>
      </w:pPr>
      <w:r>
        <w:rPr>
          <w:rFonts w:hint="eastAsia" w:eastAsia="仿宋_GB2312"/>
          <w:color w:val="3E3E3E"/>
          <w:sz w:val="32"/>
          <w:szCs w:val="32"/>
        </w:rPr>
        <w:t>无其他需要说明的情况</w:t>
      </w:r>
      <w:r>
        <w:rPr>
          <w:rFonts w:hint="eastAsia" w:eastAsia="仿宋_GB2312"/>
          <w:color w:val="3E3E3E"/>
          <w:sz w:val="32"/>
          <w:szCs w:val="32"/>
          <w:lang w:eastAsia="zh-CN"/>
        </w:rPr>
        <w:t>。</w:t>
      </w:r>
    </w:p>
    <w:p>
      <w:pPr>
        <w:spacing w:line="584" w:lineRule="exact"/>
        <w:ind w:firstLine="640"/>
        <w:rPr>
          <w:rFonts w:hint="eastAsia" w:eastAsia="黑体"/>
          <w:sz w:val="32"/>
          <w:szCs w:val="32"/>
        </w:rPr>
      </w:pPr>
    </w:p>
    <w:p>
      <w:pPr>
        <w:spacing w:line="584" w:lineRule="exact"/>
        <w:ind w:firstLine="640"/>
        <w:rPr>
          <w:rFonts w:hint="eastAsia" w:eastAsia="黑体"/>
          <w:sz w:val="32"/>
          <w:szCs w:val="32"/>
        </w:rPr>
      </w:pPr>
      <w:r>
        <w:rPr>
          <w:rFonts w:hint="eastAsia" w:eastAsia="黑体"/>
          <w:sz w:val="32"/>
          <w:szCs w:val="32"/>
        </w:rPr>
        <w:t>四、名词解释</w:t>
      </w:r>
    </w:p>
    <w:p>
      <w:pPr>
        <w:spacing w:line="584" w:lineRule="exact"/>
        <w:ind w:left="638" w:leftChars="304" w:firstLine="633" w:firstLineChars="198"/>
        <w:rPr>
          <w:rFonts w:hint="eastAsia" w:eastAsia="仿宋_GB2312"/>
          <w:sz w:val="32"/>
          <w:szCs w:val="32"/>
        </w:rPr>
      </w:pPr>
      <w:r>
        <w:rPr>
          <w:rFonts w:hint="eastAsia" w:eastAsia="仿宋_GB2312"/>
          <w:sz w:val="32"/>
          <w:szCs w:val="32"/>
        </w:rPr>
        <w:t>（一）财政拨款收入：本年度从本级财政部门取得的财政拨款，包括一般公共预算财政拨款和政府性基金预算财政拨款。</w:t>
      </w:r>
    </w:p>
    <w:p>
      <w:pPr>
        <w:spacing w:line="584" w:lineRule="exact"/>
        <w:ind w:left="638" w:leftChars="304" w:firstLine="633" w:firstLineChars="198"/>
        <w:rPr>
          <w:rFonts w:hint="eastAsia" w:eastAsia="仿宋_GB2312"/>
          <w:sz w:val="32"/>
          <w:szCs w:val="32"/>
        </w:rPr>
      </w:pPr>
      <w:r>
        <w:rPr>
          <w:rFonts w:hint="eastAsia" w:eastAsia="仿宋_GB2312"/>
          <w:sz w:val="32"/>
          <w:szCs w:val="32"/>
        </w:rPr>
        <w:t>（二）其他收入：</w:t>
      </w:r>
      <w:r>
        <w:rPr>
          <w:rFonts w:hint="eastAsia" w:eastAsia="仿宋_GB2312"/>
          <w:sz w:val="32"/>
          <w:szCs w:val="32"/>
          <w:lang w:val="en-US" w:eastAsia="zh-CN"/>
        </w:rPr>
        <w:t xml:space="preserve"> </w:t>
      </w:r>
      <w:r>
        <w:rPr>
          <w:rFonts w:hint="eastAsia" w:eastAsia="仿宋_GB2312"/>
          <w:sz w:val="32"/>
          <w:szCs w:val="32"/>
        </w:rPr>
        <w:t>指除上述“财政拨款收入”、“事业收入”、“经营收入”等以外的收入。</w:t>
      </w:r>
    </w:p>
    <w:p>
      <w:pPr>
        <w:spacing w:line="584" w:lineRule="exact"/>
        <w:ind w:left="638" w:leftChars="304" w:firstLine="633" w:firstLineChars="198"/>
        <w:rPr>
          <w:rFonts w:hint="eastAsia" w:eastAsia="仿宋_GB2312"/>
          <w:sz w:val="32"/>
          <w:szCs w:val="32"/>
        </w:rPr>
      </w:pPr>
      <w:r>
        <w:rPr>
          <w:rFonts w:hint="eastAsia" w:eastAsia="仿宋_GB2312"/>
          <w:sz w:val="32"/>
          <w:szCs w:val="32"/>
        </w:rPr>
        <w:t>（三）年初结转和结余：指以前年度尚未完成、结转到本年仍按原规定用途继续使用的资金或项目已完成等产生的结余资金。</w:t>
      </w:r>
    </w:p>
    <w:p>
      <w:pPr>
        <w:spacing w:line="584" w:lineRule="exact"/>
        <w:ind w:left="638" w:leftChars="304" w:firstLine="633" w:firstLineChars="198"/>
        <w:jc w:val="both"/>
        <w:rPr>
          <w:rFonts w:hint="eastAsia" w:eastAsia="仿宋_GB2312"/>
          <w:sz w:val="32"/>
          <w:szCs w:val="32"/>
        </w:rPr>
      </w:pPr>
      <w:r>
        <w:rPr>
          <w:rFonts w:hint="eastAsia" w:eastAsia="仿宋_GB2312"/>
          <w:sz w:val="32"/>
          <w:szCs w:val="32"/>
        </w:rPr>
        <w:t>（四）年末结转和结余：指单位按有关规定结转到下年或以后年度继续使用的资金，或项目已完成等产生的结余资金。</w:t>
      </w:r>
    </w:p>
    <w:p>
      <w:pPr>
        <w:spacing w:line="584" w:lineRule="exact"/>
        <w:ind w:firstLine="1273" w:firstLineChars="398"/>
        <w:rPr>
          <w:rFonts w:hint="eastAsia" w:eastAsia="仿宋_GB2312"/>
          <w:sz w:val="32"/>
          <w:szCs w:val="32"/>
        </w:rPr>
      </w:pPr>
      <w:r>
        <w:rPr>
          <w:rFonts w:hint="eastAsia" w:eastAsia="仿宋_GB2312"/>
          <w:sz w:val="32"/>
          <w:szCs w:val="32"/>
        </w:rPr>
        <w:t>（五）基本支出：填列单位为保障机构正常运转、完成日常工作任务而发生的各项支出。</w:t>
      </w:r>
    </w:p>
    <w:p>
      <w:pPr>
        <w:spacing w:line="584" w:lineRule="exact"/>
        <w:ind w:left="638" w:leftChars="304" w:firstLine="633" w:firstLineChars="198"/>
        <w:rPr>
          <w:rFonts w:hint="eastAsia" w:eastAsia="仿宋_GB2312"/>
          <w:sz w:val="32"/>
          <w:szCs w:val="32"/>
        </w:rPr>
      </w:pPr>
      <w:r>
        <w:rPr>
          <w:rFonts w:hint="eastAsia" w:eastAsia="仿宋_GB2312"/>
          <w:sz w:val="32"/>
          <w:szCs w:val="32"/>
        </w:rPr>
        <w:t>（六）项目支出：填列单位为完成特定的行政工作任务或事业发展目标，在基本支出之外发生的各项支出。</w:t>
      </w:r>
    </w:p>
    <w:p>
      <w:pPr>
        <w:spacing w:line="584" w:lineRule="exact"/>
        <w:ind w:left="638" w:leftChars="304" w:firstLine="633" w:firstLineChars="198"/>
        <w:rPr>
          <w:rFonts w:hint="eastAsia" w:eastAsia="仿宋_GB2312"/>
          <w:sz w:val="32"/>
          <w:szCs w:val="32"/>
        </w:rPr>
      </w:pPr>
      <w:r>
        <w:rPr>
          <w:rFonts w:hint="eastAsia" w:eastAsia="仿宋_GB2312"/>
          <w:sz w:val="32"/>
          <w:szCs w:val="32"/>
        </w:rPr>
        <w:t>（七）“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left="638" w:leftChars="304" w:firstLine="633" w:firstLineChars="198"/>
        <w:rPr>
          <w:rFonts w:hint="eastAsia" w:eastAsia="仿宋_GB2312"/>
          <w:sz w:val="32"/>
          <w:szCs w:val="32"/>
        </w:rPr>
      </w:pPr>
      <w:r>
        <w:rPr>
          <w:rFonts w:hint="eastAsia" w:eastAsia="仿宋_GB2312"/>
          <w:sz w:val="32"/>
          <w:szCs w:val="32"/>
        </w:rPr>
        <w:t>（八）其他交通费用：填列单位除公务用车运行维护费以外的其他交通费用。如飞机、船舶等的燃料费、维修费、过桥过路费、保险费、出租车费用、公务交通补贴等。</w:t>
      </w:r>
    </w:p>
    <w:p>
      <w:pPr>
        <w:spacing w:line="584" w:lineRule="exact"/>
        <w:ind w:firstLine="1273" w:firstLineChars="398"/>
        <w:rPr>
          <w:rFonts w:hint="eastAsia" w:eastAsia="仿宋_GB2312"/>
          <w:sz w:val="32"/>
          <w:szCs w:val="32"/>
        </w:rPr>
      </w:pPr>
      <w:r>
        <w:rPr>
          <w:rFonts w:hint="eastAsia" w:eastAsia="仿宋_GB2312"/>
          <w:sz w:val="32"/>
          <w:szCs w:val="32"/>
        </w:rPr>
        <w:t>（九）公务用车购置：填列单位公务用车车辆购置支出（含车辆购置税）。</w:t>
      </w:r>
    </w:p>
    <w:p>
      <w:pPr>
        <w:spacing w:line="584" w:lineRule="exact"/>
        <w:ind w:left="638" w:leftChars="304" w:firstLine="633" w:firstLineChars="198"/>
        <w:rPr>
          <w:rFonts w:hint="eastAsia" w:eastAsia="仿宋_GB2312"/>
          <w:sz w:val="32"/>
          <w:szCs w:val="32"/>
        </w:rPr>
      </w:pPr>
      <w:r>
        <w:rPr>
          <w:rFonts w:hint="eastAsia" w:eastAsia="仿宋_GB2312"/>
          <w:sz w:val="32"/>
          <w:szCs w:val="32"/>
        </w:rPr>
        <w:t>（十）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ascii="仿宋_GB2312" w:hAnsi="黑体" w:eastAsia="仿宋_GB2312"/>
          <w:color w:val="FF000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方正兰亭超细黑简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兰亭超细黑简体">
    <w:panose1 w:val="03000509000000000000"/>
    <w:charset w:val="86"/>
    <w:family w:val="auto"/>
    <w:pitch w:val="default"/>
    <w:sig w:usb0="A00002BF" w:usb1="184F6CFA" w:usb2="00000012"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abstractNum w:abstractNumId="1">
    <w:nsid w:val="59F83D76"/>
    <w:multiLevelType w:val="singleLevel"/>
    <w:tmpl w:val="59F83D76"/>
    <w:lvl w:ilvl="0" w:tentative="0">
      <w:start w:val="1"/>
      <w:numFmt w:val="chineseCounting"/>
      <w:suff w:val="nothing"/>
      <w:lvlText w:val="（%1）"/>
      <w:lvlJc w:val="left"/>
    </w:lvl>
  </w:abstractNum>
  <w:abstractNum w:abstractNumId="2">
    <w:nsid w:val="59F9482A"/>
    <w:multiLevelType w:val="singleLevel"/>
    <w:tmpl w:val="59F9482A"/>
    <w:lvl w:ilvl="0" w:tentative="0">
      <w:start w:val="7"/>
      <w:numFmt w:val="chineseCounting"/>
      <w:suff w:val="nothing"/>
      <w:lvlText w:val="（%1）"/>
      <w:lvlJc w:val="left"/>
    </w:lvl>
  </w:abstractNum>
  <w:abstractNum w:abstractNumId="3">
    <w:nsid w:val="59F948A0"/>
    <w:multiLevelType w:val="singleLevel"/>
    <w:tmpl w:val="59F948A0"/>
    <w:lvl w:ilvl="0" w:tentative="0">
      <w:start w:val="6"/>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1E38"/>
    <w:rsid w:val="00011744"/>
    <w:rsid w:val="00037AF6"/>
    <w:rsid w:val="00045A61"/>
    <w:rsid w:val="00055D09"/>
    <w:rsid w:val="00075D5F"/>
    <w:rsid w:val="000919A1"/>
    <w:rsid w:val="000C3A19"/>
    <w:rsid w:val="000D740D"/>
    <w:rsid w:val="000F5A75"/>
    <w:rsid w:val="001245BB"/>
    <w:rsid w:val="00135FD0"/>
    <w:rsid w:val="001834EE"/>
    <w:rsid w:val="0018479D"/>
    <w:rsid w:val="001B17E7"/>
    <w:rsid w:val="001B4654"/>
    <w:rsid w:val="00214BB8"/>
    <w:rsid w:val="00241FD4"/>
    <w:rsid w:val="00242781"/>
    <w:rsid w:val="00251B12"/>
    <w:rsid w:val="00260399"/>
    <w:rsid w:val="002645FB"/>
    <w:rsid w:val="00296113"/>
    <w:rsid w:val="002A215D"/>
    <w:rsid w:val="002F3E58"/>
    <w:rsid w:val="002F4AF0"/>
    <w:rsid w:val="0030542C"/>
    <w:rsid w:val="00311B7A"/>
    <w:rsid w:val="0038086D"/>
    <w:rsid w:val="003B35BC"/>
    <w:rsid w:val="003E1A7F"/>
    <w:rsid w:val="003E52B7"/>
    <w:rsid w:val="00451871"/>
    <w:rsid w:val="00472923"/>
    <w:rsid w:val="004746DB"/>
    <w:rsid w:val="004A0A98"/>
    <w:rsid w:val="004E3066"/>
    <w:rsid w:val="004E74CD"/>
    <w:rsid w:val="004F098B"/>
    <w:rsid w:val="0050738A"/>
    <w:rsid w:val="0052680D"/>
    <w:rsid w:val="00541457"/>
    <w:rsid w:val="00573147"/>
    <w:rsid w:val="00573562"/>
    <w:rsid w:val="00590472"/>
    <w:rsid w:val="005D77B1"/>
    <w:rsid w:val="00614A29"/>
    <w:rsid w:val="00623765"/>
    <w:rsid w:val="00671F5C"/>
    <w:rsid w:val="00690D11"/>
    <w:rsid w:val="006A1C7F"/>
    <w:rsid w:val="00732A90"/>
    <w:rsid w:val="0075393C"/>
    <w:rsid w:val="007722EB"/>
    <w:rsid w:val="007742CA"/>
    <w:rsid w:val="00776C08"/>
    <w:rsid w:val="007A11A0"/>
    <w:rsid w:val="007B4EE0"/>
    <w:rsid w:val="007C280D"/>
    <w:rsid w:val="007E0058"/>
    <w:rsid w:val="007E1DA8"/>
    <w:rsid w:val="007F6C26"/>
    <w:rsid w:val="00801227"/>
    <w:rsid w:val="008071BA"/>
    <w:rsid w:val="008334AE"/>
    <w:rsid w:val="00836FED"/>
    <w:rsid w:val="008436CE"/>
    <w:rsid w:val="00845CD2"/>
    <w:rsid w:val="008502D8"/>
    <w:rsid w:val="00852B0D"/>
    <w:rsid w:val="00881692"/>
    <w:rsid w:val="008A348E"/>
    <w:rsid w:val="008B3CC5"/>
    <w:rsid w:val="008C2BAF"/>
    <w:rsid w:val="008E4261"/>
    <w:rsid w:val="008F43CD"/>
    <w:rsid w:val="008F4662"/>
    <w:rsid w:val="00905D08"/>
    <w:rsid w:val="00925753"/>
    <w:rsid w:val="00952E5C"/>
    <w:rsid w:val="00966C5C"/>
    <w:rsid w:val="00973104"/>
    <w:rsid w:val="0098798C"/>
    <w:rsid w:val="009B749A"/>
    <w:rsid w:val="00A02E6F"/>
    <w:rsid w:val="00A42DC4"/>
    <w:rsid w:val="00A668FE"/>
    <w:rsid w:val="00A72D2E"/>
    <w:rsid w:val="00A911E7"/>
    <w:rsid w:val="00A939D9"/>
    <w:rsid w:val="00AC63B4"/>
    <w:rsid w:val="00B14BEC"/>
    <w:rsid w:val="00B20712"/>
    <w:rsid w:val="00B218B0"/>
    <w:rsid w:val="00B30A9E"/>
    <w:rsid w:val="00B43238"/>
    <w:rsid w:val="00B75216"/>
    <w:rsid w:val="00B8099D"/>
    <w:rsid w:val="00B91D52"/>
    <w:rsid w:val="00B93060"/>
    <w:rsid w:val="00BA1ACD"/>
    <w:rsid w:val="00BF33AE"/>
    <w:rsid w:val="00BF7510"/>
    <w:rsid w:val="00C12E4A"/>
    <w:rsid w:val="00C73A0C"/>
    <w:rsid w:val="00CA2252"/>
    <w:rsid w:val="00CA2FDF"/>
    <w:rsid w:val="00CA7176"/>
    <w:rsid w:val="00CD2773"/>
    <w:rsid w:val="00CE143B"/>
    <w:rsid w:val="00CF235E"/>
    <w:rsid w:val="00D43A15"/>
    <w:rsid w:val="00D63054"/>
    <w:rsid w:val="00DA2890"/>
    <w:rsid w:val="00E167C7"/>
    <w:rsid w:val="00E551C6"/>
    <w:rsid w:val="00E76778"/>
    <w:rsid w:val="00EC47F6"/>
    <w:rsid w:val="00EE1B43"/>
    <w:rsid w:val="00F0303A"/>
    <w:rsid w:val="00F07605"/>
    <w:rsid w:val="00F153EF"/>
    <w:rsid w:val="00F17557"/>
    <w:rsid w:val="00F540F4"/>
    <w:rsid w:val="00F66032"/>
    <w:rsid w:val="00F958C2"/>
    <w:rsid w:val="00FD3917"/>
    <w:rsid w:val="020D6BEF"/>
    <w:rsid w:val="060B30AE"/>
    <w:rsid w:val="0CA92B6C"/>
    <w:rsid w:val="172F661A"/>
    <w:rsid w:val="1A521424"/>
    <w:rsid w:val="21554A50"/>
    <w:rsid w:val="218D67C9"/>
    <w:rsid w:val="39FF1578"/>
    <w:rsid w:val="3C0604D1"/>
    <w:rsid w:val="4297379C"/>
    <w:rsid w:val="45E45DCA"/>
    <w:rsid w:val="48274F3F"/>
    <w:rsid w:val="4D213A12"/>
    <w:rsid w:val="54231028"/>
    <w:rsid w:val="58B31E68"/>
    <w:rsid w:val="7DC25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FollowedHyperlink"/>
    <w:basedOn w:val="8"/>
    <w:unhideWhenUsed/>
    <w:uiPriority w:val="99"/>
    <w:rPr>
      <w:color w:val="222222"/>
      <w:u w:val="none"/>
    </w:rPr>
  </w:style>
  <w:style w:type="character" w:styleId="10">
    <w:name w:val="Emphasis"/>
    <w:basedOn w:val="8"/>
    <w:qFormat/>
    <w:locked/>
    <w:uiPriority w:val="0"/>
  </w:style>
  <w:style w:type="character" w:styleId="11">
    <w:name w:val="Hyperlink"/>
    <w:basedOn w:val="8"/>
    <w:unhideWhenUsed/>
    <w:uiPriority w:val="99"/>
    <w:rPr>
      <w:color w:val="000000"/>
      <w:u w:val="none"/>
    </w:rPr>
  </w:style>
  <w:style w:type="character" w:styleId="12">
    <w:name w:val="HTML Cite"/>
    <w:basedOn w:val="8"/>
    <w:unhideWhenUsed/>
    <w:qFormat/>
    <w:uiPriority w:val="99"/>
  </w:style>
  <w:style w:type="character" w:customStyle="1" w:styleId="14">
    <w:name w:val="Header Char"/>
    <w:basedOn w:val="8"/>
    <w:link w:val="4"/>
    <w:qFormat/>
    <w:locked/>
    <w:uiPriority w:val="99"/>
    <w:rPr>
      <w:rFonts w:ascii="Times New Roman" w:hAnsi="Times New Roman" w:eastAsia="宋体" w:cs="Times New Roman"/>
      <w:sz w:val="18"/>
      <w:szCs w:val="18"/>
    </w:rPr>
  </w:style>
  <w:style w:type="character" w:customStyle="1" w:styleId="15">
    <w:name w:val="Footer Char"/>
    <w:basedOn w:val="8"/>
    <w:link w:val="3"/>
    <w:locked/>
    <w:uiPriority w:val="99"/>
    <w:rPr>
      <w:rFonts w:ascii="Times New Roman" w:hAnsi="Times New Roman" w:eastAsia="宋体" w:cs="Times New Roman"/>
      <w:sz w:val="18"/>
      <w:szCs w:val="18"/>
    </w:rPr>
  </w:style>
  <w:style w:type="paragraph" w:customStyle="1" w:styleId="16">
    <w:name w:val="Char Char Char Char Char Char Char Char Char Char Char Char Char"/>
    <w:basedOn w:val="1"/>
    <w:qFormat/>
    <w:uiPriority w:val="99"/>
    <w:pPr>
      <w:tabs>
        <w:tab w:val="left" w:pos="360"/>
      </w:tabs>
    </w:pPr>
    <w:rPr>
      <w:rFonts w:ascii="Times New Roman" w:hAnsi="Times New Roman"/>
      <w:sz w:val="24"/>
      <w:szCs w:val="24"/>
    </w:rPr>
  </w:style>
  <w:style w:type="paragraph" w:customStyle="1" w:styleId="17">
    <w:name w:val="List Paragraph"/>
    <w:basedOn w:val="1"/>
    <w:qFormat/>
    <w:uiPriority w:val="99"/>
    <w:pPr>
      <w:ind w:firstLine="420" w:firstLineChars="200"/>
    </w:pPr>
  </w:style>
  <w:style w:type="character" w:customStyle="1" w:styleId="18">
    <w:name w:val="Balloon Text Char"/>
    <w:basedOn w:val="8"/>
    <w:link w:val="2"/>
    <w:semiHidden/>
    <w:uiPriority w:val="99"/>
    <w:rPr>
      <w:sz w:val="0"/>
      <w:szCs w:val="0"/>
    </w:rPr>
  </w:style>
  <w:style w:type="paragraph" w:customStyle="1" w:styleId="19">
    <w:name w:val="[Normal]"/>
    <w:uiPriority w:val="0"/>
    <w:rPr>
      <w:rFonts w:ascii="宋体" w:hAnsi="宋体" w:eastAsia="宋体" w:cs="Times New Roman"/>
      <w:sz w:val="24"/>
      <w:szCs w:val="22"/>
      <w:lang w:val="en-US" w:eastAsia="en-US" w:bidi="ar-SA"/>
    </w:rPr>
  </w:style>
  <w:style w:type="character" w:customStyle="1" w:styleId="20">
    <w:name w:val="bds_nopic"/>
    <w:basedOn w:val="8"/>
    <w:qFormat/>
    <w:uiPriority w:val="0"/>
  </w:style>
  <w:style w:type="character" w:customStyle="1" w:styleId="21">
    <w:name w:val="bds_nopic1"/>
    <w:basedOn w:val="8"/>
    <w:qFormat/>
    <w:uiPriority w:val="0"/>
  </w:style>
  <w:style w:type="character" w:customStyle="1" w:styleId="22">
    <w:name w:val="bds_nopic2"/>
    <w:basedOn w:val="8"/>
    <w:qFormat/>
    <w:uiPriority w:val="0"/>
  </w:style>
  <w:style w:type="character" w:customStyle="1" w:styleId="23">
    <w:name w:val="tbiaoa2"/>
    <w:basedOn w:val="8"/>
    <w:qFormat/>
    <w:uiPriority w:val="0"/>
  </w:style>
  <w:style w:type="character" w:customStyle="1" w:styleId="24">
    <w:name w:val="tbiaoa1"/>
    <w:basedOn w:val="8"/>
    <w:qFormat/>
    <w:uiPriority w:val="0"/>
  </w:style>
  <w:style w:type="character" w:customStyle="1" w:styleId="25">
    <w:name w:val="bds_more"/>
    <w:basedOn w:val="8"/>
    <w:qFormat/>
    <w:uiPriority w:val="0"/>
    <w:rPr>
      <w:rFonts w:hint="eastAsia" w:ascii="宋体" w:hAnsi="宋体" w:eastAsia="宋体" w:cs="宋体"/>
    </w:rPr>
  </w:style>
  <w:style w:type="character" w:customStyle="1" w:styleId="26">
    <w:name w:val="bds_more1"/>
    <w:basedOn w:val="8"/>
    <w:qFormat/>
    <w:uiPriority w:val="0"/>
  </w:style>
  <w:style w:type="character" w:customStyle="1" w:styleId="27">
    <w:name w:val="bds_more2"/>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601</Words>
  <Characters>3426</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2017-10-25T08:57:00Z</dcterms:created>
  <dc:creator>guest</dc:creator>
  <cp:lastModifiedBy>lenovo</cp:lastModifiedBy>
  <cp:lastPrinted>2017-11-01T06:17:00Z</cp:lastPrinted>
  <dcterms:modified xsi:type="dcterms:W3CDTF">2017-11-01T01:23:57Z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